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74E8C" w14:textId="66E3E06F" w:rsidR="001D6AF8" w:rsidRPr="001D6AF8" w:rsidRDefault="00CF05B4" w:rsidP="001D6AF8">
      <w:pPr>
        <w:keepNext/>
        <w:spacing w:after="1200" w:line="360" w:lineRule="auto"/>
        <w:rPr>
          <w:rFonts w:cs="Arial"/>
          <w:iCs/>
        </w:rPr>
      </w:pPr>
      <w:proofErr w:type="spellStart"/>
      <w:r w:rsidRPr="00CF05B4">
        <w:rPr>
          <w:rFonts w:cs="Arial"/>
          <w:iCs/>
        </w:rPr>
        <w:t>MFiPR</w:t>
      </w:r>
      <w:proofErr w:type="spellEnd"/>
      <w:r w:rsidRPr="00CF05B4">
        <w:rPr>
          <w:rFonts w:cs="Arial"/>
          <w:iCs/>
        </w:rPr>
        <w:t>/2021-2027/12(1)</w:t>
      </w:r>
    </w:p>
    <w:p w14:paraId="38FD0EAD" w14:textId="77777777" w:rsidR="001D6AF8" w:rsidRPr="001D6AF8" w:rsidRDefault="001D6AF8" w:rsidP="001D6AF8">
      <w:pPr>
        <w:keepNext/>
        <w:spacing w:before="1200" w:after="360" w:line="360" w:lineRule="auto"/>
        <w:jc w:val="center"/>
        <w:rPr>
          <w:rFonts w:ascii="Times New Roman" w:hAnsi="Times New Roman"/>
          <w:bCs/>
          <w:caps/>
          <w:kern w:val="24"/>
        </w:rPr>
      </w:pPr>
      <w:r w:rsidRPr="001D6AF8">
        <w:rPr>
          <w:rFonts w:ascii="Times New Roman" w:hAnsi="Times New Roman"/>
          <w:bCs/>
          <w:caps/>
          <w:kern w:val="24"/>
        </w:rPr>
        <w:object w:dxaOrig="1272" w:dyaOrig="1190" w14:anchorId="24786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afika przedstawiająca orła w koronie&#10;" style="width:1in;height:65.65pt" o:ole="" fillcolor="window">
            <v:imagedata r:id="rId8" o:title=""/>
          </v:shape>
          <o:OLEObject Type="Embed" ProgID="HP.DeskScan.2" ShapeID="_x0000_i1025" DrawAspect="Content" ObjectID="_1773038041" r:id="rId9"/>
        </w:object>
      </w:r>
    </w:p>
    <w:p w14:paraId="5F28D711" w14:textId="7B2F8C13" w:rsidR="001D6AF8" w:rsidRPr="001D6AF8" w:rsidRDefault="001D6AF8" w:rsidP="001D6AF8">
      <w:pPr>
        <w:keepNext/>
        <w:suppressAutoHyphens/>
        <w:spacing w:before="360" w:after="1200" w:line="360" w:lineRule="auto"/>
        <w:jc w:val="center"/>
        <w:rPr>
          <w:rFonts w:cs="Arial"/>
          <w:b/>
          <w:bCs/>
        </w:rPr>
      </w:pPr>
      <w:r w:rsidRPr="001D6AF8">
        <w:rPr>
          <w:rFonts w:cs="Arial"/>
          <w:b/>
          <w:bCs/>
        </w:rPr>
        <w:t>Minister Funduszy i Polityki Regionalnej</w:t>
      </w:r>
    </w:p>
    <w:p w14:paraId="3CCF9E50" w14:textId="154AEB75" w:rsidR="001D6AF8" w:rsidRPr="001D6AF8" w:rsidRDefault="001D6AF8" w:rsidP="001D6AF8">
      <w:pPr>
        <w:keepNext/>
        <w:suppressAutoHyphens/>
        <w:spacing w:before="1200" w:after="360" w:line="360" w:lineRule="auto"/>
        <w:jc w:val="center"/>
        <w:rPr>
          <w:rFonts w:cs="Arial"/>
          <w:b/>
          <w:bCs/>
        </w:rPr>
      </w:pPr>
      <w:r w:rsidRPr="001D6AF8">
        <w:rPr>
          <w:rFonts w:cs="Arial"/>
          <w:b/>
          <w:bCs/>
        </w:rPr>
        <w:t xml:space="preserve">Wytyczne dotyczące </w:t>
      </w:r>
      <w:r w:rsidR="00C86B2C" w:rsidRPr="00C86B2C">
        <w:rPr>
          <w:rFonts w:cs="Arial"/>
          <w:b/>
          <w:bCs/>
        </w:rPr>
        <w:t>realizacji zasad równościowych w ramach funduszy unijnych</w:t>
      </w:r>
      <w:r w:rsidRPr="001D6AF8">
        <w:rPr>
          <w:rFonts w:cs="Arial"/>
          <w:b/>
          <w:bCs/>
        </w:rPr>
        <w:t xml:space="preserve"> na lata 2021-2027</w:t>
      </w:r>
    </w:p>
    <w:p w14:paraId="23EAB2DA" w14:textId="2DCAF91A" w:rsidR="00E95454" w:rsidRPr="001D6AF8" w:rsidRDefault="001D6AF8" w:rsidP="00E95454">
      <w:pPr>
        <w:keepNext/>
        <w:suppressAutoHyphens/>
        <w:spacing w:before="1200" w:after="360" w:line="360" w:lineRule="auto"/>
        <w:ind w:left="4820"/>
        <w:jc w:val="center"/>
        <w:rPr>
          <w:rFonts w:cs="Arial"/>
          <w:bCs/>
          <w:kern w:val="24"/>
        </w:rPr>
      </w:pPr>
      <w:r w:rsidRPr="001D6AF8">
        <w:rPr>
          <w:rFonts w:cs="Arial"/>
          <w:bCs/>
          <w:kern w:val="24"/>
        </w:rPr>
        <w:t>Zatwierdzam / Zatwierdzam z upoważnienia</w:t>
      </w:r>
      <w:r w:rsidR="00E95454">
        <w:rPr>
          <w:rFonts w:cs="Arial"/>
          <w:bCs/>
          <w:kern w:val="24"/>
        </w:rPr>
        <w:br/>
      </w:r>
      <w:r w:rsidR="00E95454">
        <w:rPr>
          <w:rFonts w:cs="Arial"/>
        </w:rPr>
        <w:t xml:space="preserve"> </w:t>
      </w:r>
      <w:bookmarkStart w:id="0" w:name="ezdPracownikNazwa"/>
      <w:bookmarkEnd w:id="0"/>
      <w:r w:rsidR="00A15E80">
        <w:rPr>
          <w:rFonts w:cs="Arial"/>
        </w:rPr>
        <w:t>Grzegorz Puda</w:t>
      </w:r>
      <w:r w:rsidR="00E95454">
        <w:rPr>
          <w:rFonts w:cs="Arial"/>
        </w:rPr>
        <w:t xml:space="preserve"> </w:t>
      </w:r>
    </w:p>
    <w:p w14:paraId="64CE303D" w14:textId="7EB2CB91" w:rsidR="001D6AF8" w:rsidRPr="001D6AF8" w:rsidRDefault="001D6AF8" w:rsidP="00666693">
      <w:pPr>
        <w:keepNext/>
        <w:suppressAutoHyphens/>
        <w:spacing w:before="360" w:after="1800" w:line="360" w:lineRule="auto"/>
        <w:ind w:left="4820"/>
        <w:jc w:val="center"/>
        <w:rPr>
          <w:rFonts w:cs="Arial"/>
          <w:bCs/>
          <w:kern w:val="24"/>
        </w:rPr>
      </w:pPr>
      <w:r w:rsidRPr="001D6AF8">
        <w:rPr>
          <w:rFonts w:cs="Arial"/>
          <w:bCs/>
          <w:kern w:val="24"/>
        </w:rPr>
        <w:t xml:space="preserve">Minister Funduszy </w:t>
      </w:r>
      <w:r w:rsidRPr="001D6AF8">
        <w:rPr>
          <w:rFonts w:cs="Arial"/>
          <w:bCs/>
          <w:kern w:val="24"/>
        </w:rPr>
        <w:br/>
        <w:t>i Polityki Regionalnej</w:t>
      </w:r>
    </w:p>
    <w:p w14:paraId="6DB45ED8" w14:textId="318B3CA8" w:rsidR="000A3B21" w:rsidRDefault="001D6AF8" w:rsidP="00D172CD">
      <w:pPr>
        <w:spacing w:line="360" w:lineRule="auto"/>
        <w:jc w:val="center"/>
        <w:outlineLvl w:val="0"/>
        <w:rPr>
          <w:rFonts w:cs="Arial"/>
          <w:bCs/>
        </w:rPr>
      </w:pPr>
      <w:r w:rsidRPr="001D6AF8">
        <w:rPr>
          <w:rFonts w:cs="Arial"/>
          <w:bCs/>
        </w:rPr>
        <w:t>Warszawa</w:t>
      </w:r>
      <w:r w:rsidR="00D172CD">
        <w:rPr>
          <w:rFonts w:cs="Arial"/>
          <w:bCs/>
        </w:rPr>
        <w:t>,</w:t>
      </w:r>
      <w:r w:rsidR="00A15E80">
        <w:rPr>
          <w:rFonts w:cs="Arial"/>
          <w:bCs/>
        </w:rPr>
        <w:t xml:space="preserve"> 29 grudnia 2022</w:t>
      </w:r>
      <w:r w:rsidR="00D172CD">
        <w:rPr>
          <w:rFonts w:cs="Arial"/>
          <w:bCs/>
        </w:rPr>
        <w:t xml:space="preserve"> </w:t>
      </w:r>
      <w:bookmarkStart w:id="1" w:name="ezdDataPodpisu"/>
      <w:bookmarkEnd w:id="1"/>
      <w:r w:rsidR="00D172CD">
        <w:rPr>
          <w:rFonts w:cs="Arial"/>
          <w:bCs/>
        </w:rPr>
        <w:t xml:space="preserve"> r.</w:t>
      </w:r>
    </w:p>
    <w:p w14:paraId="68AF5E07" w14:textId="042DD797" w:rsidR="00666693" w:rsidRPr="00D172CD" w:rsidRDefault="00666693" w:rsidP="000A3B21">
      <w:pPr>
        <w:spacing w:line="360" w:lineRule="auto"/>
        <w:jc w:val="center"/>
        <w:outlineLvl w:val="0"/>
        <w:rPr>
          <w:rFonts w:cs="Arial"/>
        </w:rPr>
      </w:pPr>
      <w:r>
        <w:rPr>
          <w:rFonts w:ascii="Times New Roman" w:hAnsi="Times New Roman"/>
          <w:bCs/>
        </w:rPr>
        <w:br w:type="page"/>
      </w:r>
    </w:p>
    <w:p w14:paraId="0B2D11F7" w14:textId="3964DE2D" w:rsidR="000952A5" w:rsidRPr="0057187F" w:rsidRDefault="000952A5" w:rsidP="0057187F">
      <w:pPr>
        <w:spacing w:line="360" w:lineRule="auto"/>
        <w:rPr>
          <w:rFonts w:cs="Arial"/>
          <w:b/>
          <w:bCs/>
          <w:sz w:val="28"/>
          <w:szCs w:val="28"/>
        </w:rPr>
      </w:pPr>
      <w:r w:rsidRPr="0057187F">
        <w:rPr>
          <w:rFonts w:cs="Arial"/>
          <w:b/>
          <w:bCs/>
          <w:sz w:val="28"/>
          <w:szCs w:val="28"/>
        </w:rPr>
        <w:lastRenderedPageBreak/>
        <w:t>Podstawa prawna</w:t>
      </w:r>
    </w:p>
    <w:p w14:paraId="7F9358E2" w14:textId="5790123C" w:rsidR="007D52B0" w:rsidRPr="0057187F" w:rsidRDefault="00C86B2C" w:rsidP="0057187F">
      <w:pPr>
        <w:spacing w:before="240" w:after="120" w:line="360" w:lineRule="auto"/>
        <w:rPr>
          <w:rFonts w:cs="Arial"/>
          <w:bCs/>
        </w:rPr>
      </w:pPr>
      <w:r w:rsidRPr="0057187F">
        <w:rPr>
          <w:rFonts w:cs="Arial"/>
          <w:bCs/>
        </w:rPr>
        <w:t>Wytyczne zostały wydane na podstawie art. 5 ust. 1 pkt</w:t>
      </w:r>
      <w:r w:rsidR="005263E8">
        <w:rPr>
          <w:rFonts w:cs="Arial"/>
          <w:bCs/>
        </w:rPr>
        <w:t>.</w:t>
      </w:r>
      <w:r w:rsidRPr="0057187F">
        <w:rPr>
          <w:rFonts w:cs="Arial"/>
          <w:bCs/>
        </w:rPr>
        <w:t xml:space="preserve"> 12 ustawy z dnia 28 kwietnia 2022 r. o zasadach realizacji zadań finansowanych ze środków europejskich w perspektywie finansowej 2021-2027 (Dz. U. poz.1079).</w:t>
      </w:r>
      <w:r w:rsidR="007D52B0" w:rsidRPr="0057187F">
        <w:rPr>
          <w:rFonts w:cs="Arial"/>
          <w:bCs/>
        </w:rPr>
        <w:br w:type="page"/>
      </w:r>
    </w:p>
    <w:sdt>
      <w:sdtPr>
        <w:rPr>
          <w:rFonts w:cs="Arial"/>
          <w:b/>
          <w:bCs/>
          <w:sz w:val="28"/>
          <w:szCs w:val="28"/>
        </w:rPr>
        <w:id w:val="1996299964"/>
        <w:docPartObj>
          <w:docPartGallery w:val="Table of Contents"/>
          <w:docPartUnique/>
        </w:docPartObj>
      </w:sdtPr>
      <w:sdtEndPr>
        <w:rPr>
          <w:noProof/>
          <w:sz w:val="24"/>
          <w:szCs w:val="24"/>
        </w:rPr>
      </w:sdtEndPr>
      <w:sdtContent>
        <w:p w14:paraId="171D9208" w14:textId="77777777" w:rsidR="0057187F" w:rsidRDefault="00115B33" w:rsidP="0057187F">
          <w:pPr>
            <w:keepNext/>
            <w:suppressAutoHyphens/>
            <w:spacing w:after="120" w:line="360" w:lineRule="auto"/>
            <w:rPr>
              <w:noProof/>
            </w:rPr>
          </w:pPr>
          <w:r w:rsidRPr="0057187F">
            <w:rPr>
              <w:rFonts w:cs="Arial"/>
              <w:b/>
              <w:bCs/>
              <w:sz w:val="28"/>
              <w:szCs w:val="28"/>
            </w:rPr>
            <w:t>Spis treści</w:t>
          </w:r>
          <w:r w:rsidRPr="0057187F">
            <w:rPr>
              <w:rFonts w:eastAsiaTheme="minorEastAsia" w:cs="Arial"/>
              <w:bCs/>
              <w:sz w:val="3276"/>
              <w:szCs w:val="3276"/>
            </w:rPr>
            <w:fldChar w:fldCharType="begin"/>
          </w:r>
          <w:r w:rsidRPr="0057187F">
            <w:rPr>
              <w:rFonts w:cs="Arial"/>
              <w:bCs/>
            </w:rPr>
            <w:instrText xml:space="preserve"> TOC \o "2-3" \h \z \t "Nagłówek 1;1" </w:instrText>
          </w:r>
          <w:r w:rsidRPr="0057187F">
            <w:rPr>
              <w:rFonts w:eastAsiaTheme="minorEastAsia" w:cs="Arial"/>
              <w:bCs/>
              <w:sz w:val="3276"/>
              <w:szCs w:val="3276"/>
            </w:rPr>
            <w:fldChar w:fldCharType="separate"/>
          </w:r>
        </w:p>
        <w:p w14:paraId="6477E9A3" w14:textId="40DB0D29" w:rsidR="0057187F" w:rsidRDefault="0027674B">
          <w:pPr>
            <w:pStyle w:val="Spistreci1"/>
            <w:rPr>
              <w:rFonts w:asciiTheme="minorHAnsi" w:eastAsiaTheme="minorEastAsia" w:hAnsiTheme="minorHAnsi" w:cstheme="minorBidi"/>
              <w:noProof/>
              <w:sz w:val="22"/>
              <w:szCs w:val="22"/>
            </w:rPr>
          </w:pPr>
          <w:hyperlink w:anchor="_Toc108787443" w:history="1">
            <w:r w:rsidR="0057187F" w:rsidRPr="00C94E27">
              <w:rPr>
                <w:rStyle w:val="Hipercze"/>
                <w:rFonts w:cs="Arial"/>
                <w:noProof/>
              </w:rPr>
              <w:t>Wykaz skrótów</w:t>
            </w:r>
            <w:r w:rsidR="0057187F">
              <w:rPr>
                <w:noProof/>
                <w:webHidden/>
              </w:rPr>
              <w:tab/>
            </w:r>
            <w:r w:rsidR="0057187F">
              <w:rPr>
                <w:noProof/>
                <w:webHidden/>
              </w:rPr>
              <w:fldChar w:fldCharType="begin"/>
            </w:r>
            <w:r w:rsidR="0057187F">
              <w:rPr>
                <w:noProof/>
                <w:webHidden/>
              </w:rPr>
              <w:instrText xml:space="preserve"> PAGEREF _Toc108787443 \h </w:instrText>
            </w:r>
            <w:r w:rsidR="0057187F">
              <w:rPr>
                <w:noProof/>
                <w:webHidden/>
              </w:rPr>
            </w:r>
            <w:r w:rsidR="0057187F">
              <w:rPr>
                <w:noProof/>
                <w:webHidden/>
              </w:rPr>
              <w:fldChar w:fldCharType="separate"/>
            </w:r>
            <w:r w:rsidR="00433B12">
              <w:rPr>
                <w:noProof/>
                <w:webHidden/>
              </w:rPr>
              <w:t>4</w:t>
            </w:r>
            <w:r w:rsidR="0057187F">
              <w:rPr>
                <w:noProof/>
                <w:webHidden/>
              </w:rPr>
              <w:fldChar w:fldCharType="end"/>
            </w:r>
          </w:hyperlink>
        </w:p>
        <w:p w14:paraId="674AFCE9" w14:textId="348F2974" w:rsidR="0057187F" w:rsidRDefault="0027674B">
          <w:pPr>
            <w:pStyle w:val="Spistreci1"/>
            <w:rPr>
              <w:rFonts w:asciiTheme="minorHAnsi" w:eastAsiaTheme="minorEastAsia" w:hAnsiTheme="minorHAnsi" w:cstheme="minorBidi"/>
              <w:noProof/>
              <w:sz w:val="22"/>
              <w:szCs w:val="22"/>
            </w:rPr>
          </w:pPr>
          <w:hyperlink w:anchor="_Toc108787444" w:history="1">
            <w:r w:rsidR="0057187F" w:rsidRPr="00C94E27">
              <w:rPr>
                <w:rStyle w:val="Hipercze"/>
                <w:rFonts w:cs="Arial"/>
                <w:noProof/>
              </w:rPr>
              <w:t>Wykaz pojęć</w:t>
            </w:r>
            <w:r w:rsidR="0057187F">
              <w:rPr>
                <w:noProof/>
                <w:webHidden/>
              </w:rPr>
              <w:tab/>
            </w:r>
            <w:r w:rsidR="0057187F">
              <w:rPr>
                <w:noProof/>
                <w:webHidden/>
              </w:rPr>
              <w:fldChar w:fldCharType="begin"/>
            </w:r>
            <w:r w:rsidR="0057187F">
              <w:rPr>
                <w:noProof/>
                <w:webHidden/>
              </w:rPr>
              <w:instrText xml:space="preserve"> PAGEREF _Toc108787444 \h </w:instrText>
            </w:r>
            <w:r w:rsidR="0057187F">
              <w:rPr>
                <w:noProof/>
                <w:webHidden/>
              </w:rPr>
            </w:r>
            <w:r w:rsidR="0057187F">
              <w:rPr>
                <w:noProof/>
                <w:webHidden/>
              </w:rPr>
              <w:fldChar w:fldCharType="separate"/>
            </w:r>
            <w:r w:rsidR="00433B12">
              <w:rPr>
                <w:noProof/>
                <w:webHidden/>
              </w:rPr>
              <w:t>4</w:t>
            </w:r>
            <w:r w:rsidR="0057187F">
              <w:rPr>
                <w:noProof/>
                <w:webHidden/>
              </w:rPr>
              <w:fldChar w:fldCharType="end"/>
            </w:r>
          </w:hyperlink>
        </w:p>
        <w:p w14:paraId="42D569A9" w14:textId="3A8F69D0" w:rsidR="0057187F" w:rsidRDefault="0027674B">
          <w:pPr>
            <w:pStyle w:val="Spistreci1"/>
            <w:rPr>
              <w:rFonts w:asciiTheme="minorHAnsi" w:eastAsiaTheme="minorEastAsia" w:hAnsiTheme="minorHAnsi" w:cstheme="minorBidi"/>
              <w:noProof/>
              <w:sz w:val="22"/>
              <w:szCs w:val="22"/>
            </w:rPr>
          </w:pPr>
          <w:hyperlink w:anchor="_Toc108787445" w:history="1">
            <w:r w:rsidR="0057187F" w:rsidRPr="00C94E27">
              <w:rPr>
                <w:rStyle w:val="Hipercze"/>
                <w:rFonts w:cs="Arial"/>
                <w:noProof/>
              </w:rPr>
              <w:t>Rozdział 1. Cel i zakres wytycznych</w:t>
            </w:r>
            <w:r w:rsidR="0057187F">
              <w:rPr>
                <w:noProof/>
                <w:webHidden/>
              </w:rPr>
              <w:tab/>
            </w:r>
            <w:r w:rsidR="0057187F">
              <w:rPr>
                <w:noProof/>
                <w:webHidden/>
              </w:rPr>
              <w:fldChar w:fldCharType="begin"/>
            </w:r>
            <w:r w:rsidR="0057187F">
              <w:rPr>
                <w:noProof/>
                <w:webHidden/>
              </w:rPr>
              <w:instrText xml:space="preserve"> PAGEREF _Toc108787445 \h </w:instrText>
            </w:r>
            <w:r w:rsidR="0057187F">
              <w:rPr>
                <w:noProof/>
                <w:webHidden/>
              </w:rPr>
            </w:r>
            <w:r w:rsidR="0057187F">
              <w:rPr>
                <w:noProof/>
                <w:webHidden/>
              </w:rPr>
              <w:fldChar w:fldCharType="separate"/>
            </w:r>
            <w:r w:rsidR="00433B12">
              <w:rPr>
                <w:noProof/>
                <w:webHidden/>
              </w:rPr>
              <w:t>11</w:t>
            </w:r>
            <w:r w:rsidR="0057187F">
              <w:rPr>
                <w:noProof/>
                <w:webHidden/>
              </w:rPr>
              <w:fldChar w:fldCharType="end"/>
            </w:r>
          </w:hyperlink>
        </w:p>
        <w:p w14:paraId="10434B45" w14:textId="13FF8365" w:rsidR="0057187F" w:rsidRDefault="0027674B">
          <w:pPr>
            <w:pStyle w:val="Spistreci1"/>
            <w:rPr>
              <w:rFonts w:asciiTheme="minorHAnsi" w:eastAsiaTheme="minorEastAsia" w:hAnsiTheme="minorHAnsi" w:cstheme="minorBidi"/>
              <w:noProof/>
              <w:sz w:val="22"/>
              <w:szCs w:val="22"/>
            </w:rPr>
          </w:pPr>
          <w:hyperlink w:anchor="_Toc108787446" w:history="1">
            <w:r w:rsidR="0057187F" w:rsidRPr="00C94E27">
              <w:rPr>
                <w:rStyle w:val="Hipercze"/>
                <w:rFonts w:cs="Arial"/>
                <w:noProof/>
              </w:rPr>
              <w:t>Rozdział 2. Akty prawne i dokumenty dotyczące zasad równościowych</w:t>
            </w:r>
            <w:r w:rsidR="0057187F">
              <w:rPr>
                <w:noProof/>
                <w:webHidden/>
              </w:rPr>
              <w:tab/>
            </w:r>
            <w:r w:rsidR="0057187F">
              <w:rPr>
                <w:noProof/>
                <w:webHidden/>
              </w:rPr>
              <w:fldChar w:fldCharType="begin"/>
            </w:r>
            <w:r w:rsidR="0057187F">
              <w:rPr>
                <w:noProof/>
                <w:webHidden/>
              </w:rPr>
              <w:instrText xml:space="preserve"> PAGEREF _Toc108787446 \h </w:instrText>
            </w:r>
            <w:r w:rsidR="0057187F">
              <w:rPr>
                <w:noProof/>
                <w:webHidden/>
              </w:rPr>
            </w:r>
            <w:r w:rsidR="0057187F">
              <w:rPr>
                <w:noProof/>
                <w:webHidden/>
              </w:rPr>
              <w:fldChar w:fldCharType="separate"/>
            </w:r>
            <w:r w:rsidR="00433B12">
              <w:rPr>
                <w:noProof/>
                <w:webHidden/>
              </w:rPr>
              <w:t>14</w:t>
            </w:r>
            <w:r w:rsidR="0057187F">
              <w:rPr>
                <w:noProof/>
                <w:webHidden/>
              </w:rPr>
              <w:fldChar w:fldCharType="end"/>
            </w:r>
          </w:hyperlink>
        </w:p>
        <w:p w14:paraId="00AB4580" w14:textId="5DBF60DF" w:rsidR="0057187F" w:rsidRDefault="0027674B">
          <w:pPr>
            <w:pStyle w:val="Spistreci1"/>
            <w:rPr>
              <w:rFonts w:asciiTheme="minorHAnsi" w:eastAsiaTheme="minorEastAsia" w:hAnsiTheme="minorHAnsi" w:cstheme="minorBidi"/>
              <w:noProof/>
              <w:sz w:val="22"/>
              <w:szCs w:val="22"/>
            </w:rPr>
          </w:pPr>
          <w:hyperlink w:anchor="_Toc108787447" w:history="1">
            <w:r w:rsidR="0057187F" w:rsidRPr="00C94E27">
              <w:rPr>
                <w:rStyle w:val="Hipercze"/>
                <w:rFonts w:cs="Arial"/>
                <w:noProof/>
              </w:rPr>
              <w:t>Rozdział 3. Informacje ogólne</w:t>
            </w:r>
            <w:r w:rsidR="0057187F">
              <w:rPr>
                <w:noProof/>
                <w:webHidden/>
              </w:rPr>
              <w:tab/>
            </w:r>
            <w:r w:rsidR="0057187F">
              <w:rPr>
                <w:noProof/>
                <w:webHidden/>
              </w:rPr>
              <w:fldChar w:fldCharType="begin"/>
            </w:r>
            <w:r w:rsidR="0057187F">
              <w:rPr>
                <w:noProof/>
                <w:webHidden/>
              </w:rPr>
              <w:instrText xml:space="preserve"> PAGEREF _Toc108787447 \h </w:instrText>
            </w:r>
            <w:r w:rsidR="0057187F">
              <w:rPr>
                <w:noProof/>
                <w:webHidden/>
              </w:rPr>
            </w:r>
            <w:r w:rsidR="0057187F">
              <w:rPr>
                <w:noProof/>
                <w:webHidden/>
              </w:rPr>
              <w:fldChar w:fldCharType="separate"/>
            </w:r>
            <w:r w:rsidR="00433B12">
              <w:rPr>
                <w:noProof/>
                <w:webHidden/>
              </w:rPr>
              <w:t>16</w:t>
            </w:r>
            <w:r w:rsidR="0057187F">
              <w:rPr>
                <w:noProof/>
                <w:webHidden/>
              </w:rPr>
              <w:fldChar w:fldCharType="end"/>
            </w:r>
          </w:hyperlink>
        </w:p>
        <w:p w14:paraId="4595F227" w14:textId="1563282C" w:rsidR="0057187F" w:rsidRDefault="0027674B">
          <w:pPr>
            <w:pStyle w:val="Spistreci1"/>
            <w:rPr>
              <w:rFonts w:asciiTheme="minorHAnsi" w:eastAsiaTheme="minorEastAsia" w:hAnsiTheme="minorHAnsi" w:cstheme="minorBidi"/>
              <w:noProof/>
              <w:sz w:val="22"/>
              <w:szCs w:val="22"/>
            </w:rPr>
          </w:pPr>
          <w:hyperlink w:anchor="_Toc108787448" w:history="1">
            <w:r w:rsidR="0057187F" w:rsidRPr="00C94E27">
              <w:rPr>
                <w:rStyle w:val="Hipercze"/>
                <w:rFonts w:cs="Arial"/>
                <w:noProof/>
              </w:rPr>
              <w:t>Rozdział 4. Rozłączne zapisy dotyczące realizacji zasad równościowych w procesie wdrażania EFS+, EFRR, FS i FST</w:t>
            </w:r>
            <w:r w:rsidR="0057187F">
              <w:rPr>
                <w:noProof/>
                <w:webHidden/>
              </w:rPr>
              <w:tab/>
            </w:r>
            <w:r w:rsidR="0057187F">
              <w:rPr>
                <w:noProof/>
                <w:webHidden/>
              </w:rPr>
              <w:fldChar w:fldCharType="begin"/>
            </w:r>
            <w:r w:rsidR="0057187F">
              <w:rPr>
                <w:noProof/>
                <w:webHidden/>
              </w:rPr>
              <w:instrText xml:space="preserve"> PAGEREF _Toc108787448 \h </w:instrText>
            </w:r>
            <w:r w:rsidR="0057187F">
              <w:rPr>
                <w:noProof/>
                <w:webHidden/>
              </w:rPr>
            </w:r>
            <w:r w:rsidR="0057187F">
              <w:rPr>
                <w:noProof/>
                <w:webHidden/>
              </w:rPr>
              <w:fldChar w:fldCharType="separate"/>
            </w:r>
            <w:r w:rsidR="00433B12">
              <w:rPr>
                <w:noProof/>
                <w:webHidden/>
              </w:rPr>
              <w:t>24</w:t>
            </w:r>
            <w:r w:rsidR="0057187F">
              <w:rPr>
                <w:noProof/>
                <w:webHidden/>
              </w:rPr>
              <w:fldChar w:fldCharType="end"/>
            </w:r>
          </w:hyperlink>
        </w:p>
        <w:p w14:paraId="247793EB" w14:textId="3D82701D" w:rsidR="0057187F" w:rsidRDefault="0027674B">
          <w:pPr>
            <w:pStyle w:val="Spistreci2"/>
            <w:tabs>
              <w:tab w:val="right" w:leader="dot" w:pos="9062"/>
            </w:tabs>
            <w:rPr>
              <w:rFonts w:asciiTheme="minorHAnsi" w:eastAsiaTheme="minorEastAsia" w:hAnsiTheme="minorHAnsi" w:cstheme="minorBidi"/>
              <w:noProof/>
              <w:sz w:val="22"/>
              <w:szCs w:val="22"/>
            </w:rPr>
          </w:pPr>
          <w:hyperlink w:anchor="_Toc108787449" w:history="1">
            <w:r w:rsidR="0057187F" w:rsidRPr="00C94E27">
              <w:rPr>
                <w:rStyle w:val="Hipercze"/>
                <w:rFonts w:cs="Arial"/>
                <w:noProof/>
              </w:rPr>
              <w:t>Podrozdział 4.1. Zasada równości szans i niedyskryminacji</w:t>
            </w:r>
            <w:r w:rsidR="0057187F">
              <w:rPr>
                <w:noProof/>
                <w:webHidden/>
              </w:rPr>
              <w:tab/>
            </w:r>
            <w:r w:rsidR="0057187F">
              <w:rPr>
                <w:noProof/>
                <w:webHidden/>
              </w:rPr>
              <w:fldChar w:fldCharType="begin"/>
            </w:r>
            <w:r w:rsidR="0057187F">
              <w:rPr>
                <w:noProof/>
                <w:webHidden/>
              </w:rPr>
              <w:instrText xml:space="preserve"> PAGEREF _Toc108787449 \h </w:instrText>
            </w:r>
            <w:r w:rsidR="0057187F">
              <w:rPr>
                <w:noProof/>
                <w:webHidden/>
              </w:rPr>
            </w:r>
            <w:r w:rsidR="0057187F">
              <w:rPr>
                <w:noProof/>
                <w:webHidden/>
              </w:rPr>
              <w:fldChar w:fldCharType="separate"/>
            </w:r>
            <w:r w:rsidR="00433B12">
              <w:rPr>
                <w:noProof/>
                <w:webHidden/>
              </w:rPr>
              <w:t>24</w:t>
            </w:r>
            <w:r w:rsidR="0057187F">
              <w:rPr>
                <w:noProof/>
                <w:webHidden/>
              </w:rPr>
              <w:fldChar w:fldCharType="end"/>
            </w:r>
          </w:hyperlink>
        </w:p>
        <w:p w14:paraId="1A7263D5" w14:textId="760B6917" w:rsidR="0057187F" w:rsidRDefault="0027674B">
          <w:pPr>
            <w:pStyle w:val="Spistreci3"/>
            <w:rPr>
              <w:rFonts w:asciiTheme="minorHAnsi" w:eastAsiaTheme="minorEastAsia" w:hAnsiTheme="minorHAnsi" w:cstheme="minorBidi"/>
              <w:noProof/>
              <w:sz w:val="22"/>
              <w:szCs w:val="22"/>
            </w:rPr>
          </w:pPr>
          <w:hyperlink w:anchor="_Toc108787450" w:history="1">
            <w:r w:rsidR="0057187F" w:rsidRPr="00C94E27">
              <w:rPr>
                <w:rStyle w:val="Hipercze"/>
                <w:rFonts w:cs="Arial"/>
                <w:noProof/>
              </w:rPr>
              <w:t>Sekcja 4.1.1. Wymagania ogólne</w:t>
            </w:r>
            <w:r w:rsidR="0057187F">
              <w:rPr>
                <w:noProof/>
                <w:webHidden/>
              </w:rPr>
              <w:tab/>
            </w:r>
            <w:r w:rsidR="0057187F">
              <w:rPr>
                <w:noProof/>
                <w:webHidden/>
              </w:rPr>
              <w:fldChar w:fldCharType="begin"/>
            </w:r>
            <w:r w:rsidR="0057187F">
              <w:rPr>
                <w:noProof/>
                <w:webHidden/>
              </w:rPr>
              <w:instrText xml:space="preserve"> PAGEREF _Toc108787450 \h </w:instrText>
            </w:r>
            <w:r w:rsidR="0057187F">
              <w:rPr>
                <w:noProof/>
                <w:webHidden/>
              </w:rPr>
            </w:r>
            <w:r w:rsidR="0057187F">
              <w:rPr>
                <w:noProof/>
                <w:webHidden/>
              </w:rPr>
              <w:fldChar w:fldCharType="separate"/>
            </w:r>
            <w:r w:rsidR="00433B12">
              <w:rPr>
                <w:noProof/>
                <w:webHidden/>
              </w:rPr>
              <w:t>24</w:t>
            </w:r>
            <w:r w:rsidR="0057187F">
              <w:rPr>
                <w:noProof/>
                <w:webHidden/>
              </w:rPr>
              <w:fldChar w:fldCharType="end"/>
            </w:r>
          </w:hyperlink>
        </w:p>
        <w:p w14:paraId="316CA478" w14:textId="7CE5FC0D" w:rsidR="0057187F" w:rsidRDefault="0027674B">
          <w:pPr>
            <w:pStyle w:val="Spistreci3"/>
            <w:rPr>
              <w:rFonts w:asciiTheme="minorHAnsi" w:eastAsiaTheme="minorEastAsia" w:hAnsiTheme="minorHAnsi" w:cstheme="minorBidi"/>
              <w:noProof/>
              <w:sz w:val="22"/>
              <w:szCs w:val="22"/>
            </w:rPr>
          </w:pPr>
          <w:hyperlink w:anchor="_Toc108787451" w:history="1">
            <w:r w:rsidR="0057187F" w:rsidRPr="00C94E27">
              <w:rPr>
                <w:rStyle w:val="Hipercze"/>
                <w:rFonts w:cs="Arial"/>
                <w:noProof/>
              </w:rPr>
              <w:t>Sekcja 4.1.2. Mechanizm racjonalnych usprawnień (MRU)</w:t>
            </w:r>
            <w:r w:rsidR="0057187F">
              <w:rPr>
                <w:noProof/>
                <w:webHidden/>
              </w:rPr>
              <w:tab/>
            </w:r>
            <w:r w:rsidR="0057187F">
              <w:rPr>
                <w:noProof/>
                <w:webHidden/>
              </w:rPr>
              <w:fldChar w:fldCharType="begin"/>
            </w:r>
            <w:r w:rsidR="0057187F">
              <w:rPr>
                <w:noProof/>
                <w:webHidden/>
              </w:rPr>
              <w:instrText xml:space="preserve"> PAGEREF _Toc108787451 \h </w:instrText>
            </w:r>
            <w:r w:rsidR="0057187F">
              <w:rPr>
                <w:noProof/>
                <w:webHidden/>
              </w:rPr>
            </w:r>
            <w:r w:rsidR="0057187F">
              <w:rPr>
                <w:noProof/>
                <w:webHidden/>
              </w:rPr>
              <w:fldChar w:fldCharType="separate"/>
            </w:r>
            <w:r w:rsidR="00433B12">
              <w:rPr>
                <w:noProof/>
                <w:webHidden/>
              </w:rPr>
              <w:t>28</w:t>
            </w:r>
            <w:r w:rsidR="0057187F">
              <w:rPr>
                <w:noProof/>
                <w:webHidden/>
              </w:rPr>
              <w:fldChar w:fldCharType="end"/>
            </w:r>
          </w:hyperlink>
        </w:p>
        <w:p w14:paraId="2FEE4B03" w14:textId="78C25AA9" w:rsidR="0057187F" w:rsidRDefault="0027674B">
          <w:pPr>
            <w:pStyle w:val="Spistreci3"/>
            <w:rPr>
              <w:rFonts w:asciiTheme="minorHAnsi" w:eastAsiaTheme="minorEastAsia" w:hAnsiTheme="minorHAnsi" w:cstheme="minorBidi"/>
              <w:noProof/>
              <w:sz w:val="22"/>
              <w:szCs w:val="22"/>
            </w:rPr>
          </w:pPr>
          <w:hyperlink w:anchor="_Toc108787452" w:history="1">
            <w:r w:rsidR="0057187F" w:rsidRPr="00C94E27">
              <w:rPr>
                <w:rStyle w:val="Hipercze"/>
                <w:rFonts w:cs="Arial"/>
                <w:noProof/>
              </w:rPr>
              <w:t>Sekcja 4.1.3. Wybór projektów</w:t>
            </w:r>
            <w:r w:rsidR="0057187F">
              <w:rPr>
                <w:noProof/>
                <w:webHidden/>
              </w:rPr>
              <w:tab/>
            </w:r>
            <w:r w:rsidR="0057187F">
              <w:rPr>
                <w:noProof/>
                <w:webHidden/>
              </w:rPr>
              <w:fldChar w:fldCharType="begin"/>
            </w:r>
            <w:r w:rsidR="0057187F">
              <w:rPr>
                <w:noProof/>
                <w:webHidden/>
              </w:rPr>
              <w:instrText xml:space="preserve"> PAGEREF _Toc108787452 \h </w:instrText>
            </w:r>
            <w:r w:rsidR="0057187F">
              <w:rPr>
                <w:noProof/>
                <w:webHidden/>
              </w:rPr>
            </w:r>
            <w:r w:rsidR="0057187F">
              <w:rPr>
                <w:noProof/>
                <w:webHidden/>
              </w:rPr>
              <w:fldChar w:fldCharType="separate"/>
            </w:r>
            <w:r w:rsidR="00433B12">
              <w:rPr>
                <w:noProof/>
                <w:webHidden/>
              </w:rPr>
              <w:t>29</w:t>
            </w:r>
            <w:r w:rsidR="0057187F">
              <w:rPr>
                <w:noProof/>
                <w:webHidden/>
              </w:rPr>
              <w:fldChar w:fldCharType="end"/>
            </w:r>
          </w:hyperlink>
        </w:p>
        <w:p w14:paraId="63C08D80" w14:textId="2303FA11" w:rsidR="0057187F" w:rsidRDefault="0027674B">
          <w:pPr>
            <w:pStyle w:val="Spistreci2"/>
            <w:tabs>
              <w:tab w:val="right" w:leader="dot" w:pos="9062"/>
            </w:tabs>
            <w:rPr>
              <w:rFonts w:asciiTheme="minorHAnsi" w:eastAsiaTheme="minorEastAsia" w:hAnsiTheme="minorHAnsi" w:cstheme="minorBidi"/>
              <w:noProof/>
              <w:sz w:val="22"/>
              <w:szCs w:val="22"/>
            </w:rPr>
          </w:pPr>
          <w:hyperlink w:anchor="_Toc108787453" w:history="1">
            <w:r w:rsidR="0057187F" w:rsidRPr="00C94E27">
              <w:rPr>
                <w:rStyle w:val="Hipercze"/>
                <w:rFonts w:cs="Arial"/>
                <w:noProof/>
              </w:rPr>
              <w:t>Podrozdział 4.2. Zasada równości</w:t>
            </w:r>
            <w:r w:rsidR="00774FC5">
              <w:rPr>
                <w:rStyle w:val="Hipercze"/>
                <w:rFonts w:cs="Arial"/>
                <w:noProof/>
              </w:rPr>
              <w:t xml:space="preserve"> kobiet i mężczyzn</w:t>
            </w:r>
            <w:r w:rsidR="0057187F">
              <w:rPr>
                <w:noProof/>
                <w:webHidden/>
              </w:rPr>
              <w:tab/>
            </w:r>
            <w:r w:rsidR="0057187F">
              <w:rPr>
                <w:noProof/>
                <w:webHidden/>
              </w:rPr>
              <w:fldChar w:fldCharType="begin"/>
            </w:r>
            <w:r w:rsidR="0057187F">
              <w:rPr>
                <w:noProof/>
                <w:webHidden/>
              </w:rPr>
              <w:instrText xml:space="preserve"> PAGEREF _Toc108787453 \h </w:instrText>
            </w:r>
            <w:r w:rsidR="0057187F">
              <w:rPr>
                <w:noProof/>
                <w:webHidden/>
              </w:rPr>
            </w:r>
            <w:r w:rsidR="0057187F">
              <w:rPr>
                <w:noProof/>
                <w:webHidden/>
              </w:rPr>
              <w:fldChar w:fldCharType="separate"/>
            </w:r>
            <w:r w:rsidR="00433B12">
              <w:rPr>
                <w:noProof/>
                <w:webHidden/>
              </w:rPr>
              <w:t>33</w:t>
            </w:r>
            <w:r w:rsidR="0057187F">
              <w:rPr>
                <w:noProof/>
                <w:webHidden/>
              </w:rPr>
              <w:fldChar w:fldCharType="end"/>
            </w:r>
          </w:hyperlink>
        </w:p>
        <w:p w14:paraId="6D01586A" w14:textId="3E88D6E7" w:rsidR="0057187F" w:rsidRDefault="0027674B">
          <w:pPr>
            <w:pStyle w:val="Spistreci3"/>
            <w:rPr>
              <w:rFonts w:asciiTheme="minorHAnsi" w:eastAsiaTheme="minorEastAsia" w:hAnsiTheme="minorHAnsi" w:cstheme="minorBidi"/>
              <w:noProof/>
              <w:sz w:val="22"/>
              <w:szCs w:val="22"/>
            </w:rPr>
          </w:pPr>
          <w:hyperlink w:anchor="_Toc108787454" w:history="1">
            <w:r w:rsidR="0057187F" w:rsidRPr="00C94E27">
              <w:rPr>
                <w:rStyle w:val="Hipercze"/>
                <w:rFonts w:cs="Arial"/>
                <w:noProof/>
              </w:rPr>
              <w:t>Sekcja 4.2.1. Wymagania ogólne</w:t>
            </w:r>
            <w:r w:rsidR="0057187F">
              <w:rPr>
                <w:noProof/>
                <w:webHidden/>
              </w:rPr>
              <w:tab/>
            </w:r>
            <w:r w:rsidR="0057187F">
              <w:rPr>
                <w:noProof/>
                <w:webHidden/>
              </w:rPr>
              <w:fldChar w:fldCharType="begin"/>
            </w:r>
            <w:r w:rsidR="0057187F">
              <w:rPr>
                <w:noProof/>
                <w:webHidden/>
              </w:rPr>
              <w:instrText xml:space="preserve"> PAGEREF _Toc108787454 \h </w:instrText>
            </w:r>
            <w:r w:rsidR="0057187F">
              <w:rPr>
                <w:noProof/>
                <w:webHidden/>
              </w:rPr>
            </w:r>
            <w:r w:rsidR="0057187F">
              <w:rPr>
                <w:noProof/>
                <w:webHidden/>
              </w:rPr>
              <w:fldChar w:fldCharType="separate"/>
            </w:r>
            <w:r w:rsidR="00433B12">
              <w:rPr>
                <w:noProof/>
                <w:webHidden/>
              </w:rPr>
              <w:t>33</w:t>
            </w:r>
            <w:r w:rsidR="0057187F">
              <w:rPr>
                <w:noProof/>
                <w:webHidden/>
              </w:rPr>
              <w:fldChar w:fldCharType="end"/>
            </w:r>
          </w:hyperlink>
        </w:p>
        <w:p w14:paraId="67A9D071" w14:textId="243C8DAD" w:rsidR="0057187F" w:rsidRDefault="0027674B">
          <w:pPr>
            <w:pStyle w:val="Spistreci3"/>
            <w:rPr>
              <w:rFonts w:asciiTheme="minorHAnsi" w:eastAsiaTheme="minorEastAsia" w:hAnsiTheme="minorHAnsi" w:cstheme="minorBidi"/>
              <w:noProof/>
              <w:sz w:val="22"/>
              <w:szCs w:val="22"/>
            </w:rPr>
          </w:pPr>
          <w:hyperlink w:anchor="_Toc108787455" w:history="1">
            <w:r w:rsidR="0057187F" w:rsidRPr="00C94E27">
              <w:rPr>
                <w:rStyle w:val="Hipercze"/>
                <w:rFonts w:cs="Arial"/>
                <w:noProof/>
              </w:rPr>
              <w:t>Sekcja 4.2.2. Wybór projektów</w:t>
            </w:r>
            <w:r w:rsidR="0057187F">
              <w:rPr>
                <w:noProof/>
                <w:webHidden/>
              </w:rPr>
              <w:tab/>
            </w:r>
            <w:r w:rsidR="0057187F">
              <w:rPr>
                <w:noProof/>
                <w:webHidden/>
              </w:rPr>
              <w:fldChar w:fldCharType="begin"/>
            </w:r>
            <w:r w:rsidR="0057187F">
              <w:rPr>
                <w:noProof/>
                <w:webHidden/>
              </w:rPr>
              <w:instrText xml:space="preserve"> PAGEREF _Toc108787455 \h </w:instrText>
            </w:r>
            <w:r w:rsidR="0057187F">
              <w:rPr>
                <w:noProof/>
                <w:webHidden/>
              </w:rPr>
            </w:r>
            <w:r w:rsidR="0057187F">
              <w:rPr>
                <w:noProof/>
                <w:webHidden/>
              </w:rPr>
              <w:fldChar w:fldCharType="separate"/>
            </w:r>
            <w:r w:rsidR="00433B12">
              <w:rPr>
                <w:noProof/>
                <w:webHidden/>
              </w:rPr>
              <w:t>34</w:t>
            </w:r>
            <w:r w:rsidR="0057187F">
              <w:rPr>
                <w:noProof/>
                <w:webHidden/>
              </w:rPr>
              <w:fldChar w:fldCharType="end"/>
            </w:r>
          </w:hyperlink>
        </w:p>
        <w:p w14:paraId="78AE7BA7" w14:textId="5167C06E" w:rsidR="0057187F" w:rsidRDefault="0027674B" w:rsidP="005263E8">
          <w:pPr>
            <w:pStyle w:val="Spistreci1"/>
            <w:rPr>
              <w:rFonts w:asciiTheme="minorHAnsi" w:eastAsiaTheme="minorEastAsia" w:hAnsiTheme="minorHAnsi" w:cstheme="minorBidi"/>
              <w:noProof/>
              <w:sz w:val="22"/>
              <w:szCs w:val="22"/>
            </w:rPr>
          </w:pPr>
          <w:hyperlink w:anchor="_Toc108787456" w:history="1">
            <w:r w:rsidR="0057187F" w:rsidRPr="00C94E27">
              <w:rPr>
                <w:rStyle w:val="Hipercze"/>
                <w:rFonts w:cs="Arial"/>
                <w:noProof/>
              </w:rPr>
              <w:t>Rozdział 5. Wspólne postanowienia dotyczące realizacji zasad równościowych w procesie wdrażania EFS+, EFRR, FS i FST</w:t>
            </w:r>
            <w:r w:rsidR="0057187F">
              <w:rPr>
                <w:noProof/>
                <w:webHidden/>
              </w:rPr>
              <w:tab/>
            </w:r>
            <w:r w:rsidR="0057187F">
              <w:rPr>
                <w:noProof/>
                <w:webHidden/>
              </w:rPr>
              <w:fldChar w:fldCharType="begin"/>
            </w:r>
            <w:r w:rsidR="0057187F">
              <w:rPr>
                <w:noProof/>
                <w:webHidden/>
              </w:rPr>
              <w:instrText xml:space="preserve"> PAGEREF _Toc108787456 \h </w:instrText>
            </w:r>
            <w:r w:rsidR="0057187F">
              <w:rPr>
                <w:noProof/>
                <w:webHidden/>
              </w:rPr>
            </w:r>
            <w:r w:rsidR="0057187F">
              <w:rPr>
                <w:noProof/>
                <w:webHidden/>
              </w:rPr>
              <w:fldChar w:fldCharType="separate"/>
            </w:r>
            <w:r w:rsidR="00433B12">
              <w:rPr>
                <w:noProof/>
                <w:webHidden/>
              </w:rPr>
              <w:t>37</w:t>
            </w:r>
            <w:r w:rsidR="0057187F">
              <w:rPr>
                <w:noProof/>
                <w:webHidden/>
              </w:rPr>
              <w:fldChar w:fldCharType="end"/>
            </w:r>
          </w:hyperlink>
        </w:p>
        <w:p w14:paraId="58CAB87E" w14:textId="302902A9" w:rsidR="0057187F" w:rsidRDefault="0027674B" w:rsidP="004F5327">
          <w:pPr>
            <w:pStyle w:val="Spistreci2"/>
            <w:tabs>
              <w:tab w:val="right" w:leader="dot" w:pos="9062"/>
            </w:tabs>
            <w:spacing w:line="360" w:lineRule="auto"/>
            <w:rPr>
              <w:rFonts w:asciiTheme="minorHAnsi" w:eastAsiaTheme="minorEastAsia" w:hAnsiTheme="minorHAnsi" w:cstheme="minorBidi"/>
              <w:noProof/>
              <w:sz w:val="22"/>
              <w:szCs w:val="22"/>
            </w:rPr>
          </w:pPr>
          <w:hyperlink w:anchor="_Toc108787457" w:history="1">
            <w:r w:rsidR="0057187F" w:rsidRPr="00C94E27">
              <w:rPr>
                <w:rStyle w:val="Hipercze"/>
                <w:rFonts w:cs="Arial"/>
                <w:noProof/>
              </w:rPr>
              <w:t>Podrozdział 5.1. Wymagania ogólne</w:t>
            </w:r>
            <w:r w:rsidR="0057187F">
              <w:rPr>
                <w:noProof/>
                <w:webHidden/>
              </w:rPr>
              <w:tab/>
            </w:r>
            <w:r w:rsidR="0057187F">
              <w:rPr>
                <w:noProof/>
                <w:webHidden/>
              </w:rPr>
              <w:fldChar w:fldCharType="begin"/>
            </w:r>
            <w:r w:rsidR="0057187F">
              <w:rPr>
                <w:noProof/>
                <w:webHidden/>
              </w:rPr>
              <w:instrText xml:space="preserve"> PAGEREF _Toc108787457 \h </w:instrText>
            </w:r>
            <w:r w:rsidR="0057187F">
              <w:rPr>
                <w:noProof/>
                <w:webHidden/>
              </w:rPr>
            </w:r>
            <w:r w:rsidR="0057187F">
              <w:rPr>
                <w:noProof/>
                <w:webHidden/>
              </w:rPr>
              <w:fldChar w:fldCharType="separate"/>
            </w:r>
            <w:r w:rsidR="00433B12">
              <w:rPr>
                <w:noProof/>
                <w:webHidden/>
              </w:rPr>
              <w:t>37</w:t>
            </w:r>
            <w:r w:rsidR="0057187F">
              <w:rPr>
                <w:noProof/>
                <w:webHidden/>
              </w:rPr>
              <w:fldChar w:fldCharType="end"/>
            </w:r>
          </w:hyperlink>
        </w:p>
        <w:p w14:paraId="7414994E" w14:textId="13944414" w:rsidR="0057187F" w:rsidRDefault="0027674B" w:rsidP="004F5327">
          <w:pPr>
            <w:pStyle w:val="Spistreci2"/>
            <w:tabs>
              <w:tab w:val="right" w:leader="dot" w:pos="9062"/>
            </w:tabs>
            <w:spacing w:line="360" w:lineRule="auto"/>
            <w:rPr>
              <w:rFonts w:asciiTheme="minorHAnsi" w:eastAsiaTheme="minorEastAsia" w:hAnsiTheme="minorHAnsi" w:cstheme="minorBidi"/>
              <w:noProof/>
              <w:sz w:val="22"/>
              <w:szCs w:val="22"/>
            </w:rPr>
          </w:pPr>
          <w:hyperlink w:anchor="_Toc108787458" w:history="1">
            <w:r w:rsidR="0057187F" w:rsidRPr="00C94E27">
              <w:rPr>
                <w:rStyle w:val="Hipercze"/>
                <w:rFonts w:cs="Arial"/>
                <w:noProof/>
              </w:rPr>
              <w:t>Podrozdział 5.2. Monitorowanie, ewaluacja, promocja</w:t>
            </w:r>
            <w:r w:rsidR="0057187F">
              <w:rPr>
                <w:noProof/>
                <w:webHidden/>
              </w:rPr>
              <w:tab/>
            </w:r>
            <w:r w:rsidR="0057187F">
              <w:rPr>
                <w:noProof/>
                <w:webHidden/>
              </w:rPr>
              <w:fldChar w:fldCharType="begin"/>
            </w:r>
            <w:r w:rsidR="0057187F">
              <w:rPr>
                <w:noProof/>
                <w:webHidden/>
              </w:rPr>
              <w:instrText xml:space="preserve"> PAGEREF _Toc108787458 \h </w:instrText>
            </w:r>
            <w:r w:rsidR="0057187F">
              <w:rPr>
                <w:noProof/>
                <w:webHidden/>
              </w:rPr>
            </w:r>
            <w:r w:rsidR="0057187F">
              <w:rPr>
                <w:noProof/>
                <w:webHidden/>
              </w:rPr>
              <w:fldChar w:fldCharType="separate"/>
            </w:r>
            <w:r w:rsidR="00433B12">
              <w:rPr>
                <w:noProof/>
                <w:webHidden/>
              </w:rPr>
              <w:t>39</w:t>
            </w:r>
            <w:r w:rsidR="0057187F">
              <w:rPr>
                <w:noProof/>
                <w:webHidden/>
              </w:rPr>
              <w:fldChar w:fldCharType="end"/>
            </w:r>
          </w:hyperlink>
        </w:p>
        <w:p w14:paraId="554A35E1" w14:textId="3F567A7D" w:rsidR="0057187F" w:rsidRDefault="0027674B" w:rsidP="004F5327">
          <w:pPr>
            <w:pStyle w:val="Spistreci2"/>
            <w:tabs>
              <w:tab w:val="right" w:leader="dot" w:pos="9062"/>
            </w:tabs>
            <w:spacing w:line="360" w:lineRule="auto"/>
            <w:rPr>
              <w:rFonts w:asciiTheme="minorHAnsi" w:eastAsiaTheme="minorEastAsia" w:hAnsiTheme="minorHAnsi" w:cstheme="minorBidi"/>
              <w:noProof/>
              <w:sz w:val="22"/>
              <w:szCs w:val="22"/>
            </w:rPr>
          </w:pPr>
          <w:hyperlink w:anchor="_Toc108787459" w:history="1">
            <w:r w:rsidR="0057187F" w:rsidRPr="00C94E27">
              <w:rPr>
                <w:rStyle w:val="Hipercze"/>
                <w:rFonts w:cs="Arial"/>
                <w:noProof/>
              </w:rPr>
              <w:t>Podrozdział 5.3. Kontrola</w:t>
            </w:r>
            <w:r w:rsidR="0057187F">
              <w:rPr>
                <w:noProof/>
                <w:webHidden/>
              </w:rPr>
              <w:tab/>
            </w:r>
            <w:r w:rsidR="0057187F">
              <w:rPr>
                <w:noProof/>
                <w:webHidden/>
              </w:rPr>
              <w:fldChar w:fldCharType="begin"/>
            </w:r>
            <w:r w:rsidR="0057187F">
              <w:rPr>
                <w:noProof/>
                <w:webHidden/>
              </w:rPr>
              <w:instrText xml:space="preserve"> PAGEREF _Toc108787459 \h </w:instrText>
            </w:r>
            <w:r w:rsidR="0057187F">
              <w:rPr>
                <w:noProof/>
                <w:webHidden/>
              </w:rPr>
            </w:r>
            <w:r w:rsidR="0057187F">
              <w:rPr>
                <w:noProof/>
                <w:webHidden/>
              </w:rPr>
              <w:fldChar w:fldCharType="separate"/>
            </w:r>
            <w:r w:rsidR="00433B12">
              <w:rPr>
                <w:noProof/>
                <w:webHidden/>
              </w:rPr>
              <w:t>42</w:t>
            </w:r>
            <w:r w:rsidR="0057187F">
              <w:rPr>
                <w:noProof/>
                <w:webHidden/>
              </w:rPr>
              <w:fldChar w:fldCharType="end"/>
            </w:r>
          </w:hyperlink>
        </w:p>
        <w:p w14:paraId="1B01CBFC" w14:textId="34A8D755" w:rsidR="0057187F" w:rsidRDefault="0027674B">
          <w:pPr>
            <w:pStyle w:val="Spistreci1"/>
            <w:rPr>
              <w:rFonts w:asciiTheme="minorHAnsi" w:eastAsiaTheme="minorEastAsia" w:hAnsiTheme="minorHAnsi" w:cstheme="minorBidi"/>
              <w:noProof/>
              <w:sz w:val="22"/>
              <w:szCs w:val="22"/>
            </w:rPr>
          </w:pPr>
          <w:hyperlink w:anchor="_Toc108787460" w:history="1">
            <w:r w:rsidR="0057187F" w:rsidRPr="00C94E27">
              <w:rPr>
                <w:rStyle w:val="Hipercze"/>
                <w:rFonts w:cs="Arial"/>
                <w:noProof/>
              </w:rPr>
              <w:t>Załączniki</w:t>
            </w:r>
            <w:r w:rsidR="0057187F">
              <w:rPr>
                <w:noProof/>
                <w:webHidden/>
              </w:rPr>
              <w:tab/>
            </w:r>
            <w:r w:rsidR="0057187F">
              <w:rPr>
                <w:noProof/>
                <w:webHidden/>
              </w:rPr>
              <w:fldChar w:fldCharType="begin"/>
            </w:r>
            <w:r w:rsidR="0057187F">
              <w:rPr>
                <w:noProof/>
                <w:webHidden/>
              </w:rPr>
              <w:instrText xml:space="preserve"> PAGEREF _Toc108787460 \h </w:instrText>
            </w:r>
            <w:r w:rsidR="0057187F">
              <w:rPr>
                <w:noProof/>
                <w:webHidden/>
              </w:rPr>
            </w:r>
            <w:r w:rsidR="0057187F">
              <w:rPr>
                <w:noProof/>
                <w:webHidden/>
              </w:rPr>
              <w:fldChar w:fldCharType="separate"/>
            </w:r>
            <w:r w:rsidR="00433B12">
              <w:rPr>
                <w:noProof/>
                <w:webHidden/>
              </w:rPr>
              <w:t>43</w:t>
            </w:r>
            <w:r w:rsidR="0057187F">
              <w:rPr>
                <w:noProof/>
                <w:webHidden/>
              </w:rPr>
              <w:fldChar w:fldCharType="end"/>
            </w:r>
          </w:hyperlink>
        </w:p>
        <w:p w14:paraId="3D080298" w14:textId="5EC6E8B3" w:rsidR="00115B33" w:rsidRPr="0057187F" w:rsidRDefault="00115B33" w:rsidP="0057187F">
          <w:pPr>
            <w:spacing w:line="360" w:lineRule="auto"/>
            <w:rPr>
              <w:rFonts w:cs="Arial"/>
              <w:noProof/>
            </w:rPr>
          </w:pPr>
          <w:r w:rsidRPr="0057187F">
            <w:rPr>
              <w:rFonts w:cs="Arial"/>
              <w:b/>
              <w:bCs/>
              <w:kern w:val="32"/>
            </w:rPr>
            <w:fldChar w:fldCharType="end"/>
          </w:r>
          <w:r w:rsidRPr="0057187F">
            <w:rPr>
              <w:rFonts w:cs="Arial"/>
              <w:b/>
              <w:bCs/>
              <w:noProof/>
            </w:rPr>
            <w:br w:type="page"/>
          </w:r>
        </w:p>
      </w:sdtContent>
    </w:sdt>
    <w:p w14:paraId="47935249" w14:textId="624EC67B" w:rsidR="001D6AF8" w:rsidRPr="0057187F" w:rsidRDefault="001D6AF8" w:rsidP="0057187F">
      <w:pPr>
        <w:pStyle w:val="Nagwek1"/>
        <w:rPr>
          <w:rFonts w:cs="Arial"/>
        </w:rPr>
      </w:pPr>
      <w:bookmarkStart w:id="2" w:name="_Toc98428187"/>
      <w:bookmarkStart w:id="3" w:name="_Toc98761659"/>
      <w:bookmarkStart w:id="4" w:name="_Toc98934363"/>
      <w:bookmarkStart w:id="5" w:name="_Toc108787443"/>
      <w:r w:rsidRPr="0057187F">
        <w:rPr>
          <w:rFonts w:cs="Arial"/>
        </w:rPr>
        <w:lastRenderedPageBreak/>
        <w:t>Wykaz skrótów</w:t>
      </w:r>
      <w:bookmarkEnd w:id="2"/>
      <w:bookmarkEnd w:id="3"/>
      <w:bookmarkEnd w:id="4"/>
      <w:bookmarkEnd w:id="5"/>
    </w:p>
    <w:p w14:paraId="54C05D84" w14:textId="62421606" w:rsidR="00A51F43" w:rsidRPr="00DA067E" w:rsidRDefault="00A51F43" w:rsidP="00DA067E">
      <w:pPr>
        <w:autoSpaceDE w:val="0"/>
        <w:autoSpaceDN w:val="0"/>
        <w:adjustRightInd w:val="0"/>
        <w:spacing w:after="120" w:line="360" w:lineRule="auto"/>
        <w:rPr>
          <w:rFonts w:eastAsia="Calibri" w:cs="Arial"/>
        </w:rPr>
      </w:pPr>
      <w:r>
        <w:rPr>
          <w:rFonts w:cs="Arial"/>
          <w:szCs w:val="20"/>
        </w:rPr>
        <w:t>CST 2021</w:t>
      </w:r>
      <w:r w:rsidR="0031015E">
        <w:rPr>
          <w:rFonts w:cs="Arial"/>
          <w:szCs w:val="20"/>
        </w:rPr>
        <w:t xml:space="preserve"> </w:t>
      </w:r>
      <w:r w:rsidR="00EB430C" w:rsidRPr="0057187F">
        <w:rPr>
          <w:rFonts w:cs="Arial"/>
          <w:szCs w:val="20"/>
        </w:rPr>
        <w:t>–</w:t>
      </w:r>
      <w:r>
        <w:rPr>
          <w:rFonts w:cs="Arial"/>
          <w:szCs w:val="20"/>
        </w:rPr>
        <w:t xml:space="preserve"> </w:t>
      </w:r>
      <w:r w:rsidRPr="00A51F43">
        <w:rPr>
          <w:rFonts w:eastAsia="Calibri" w:cs="Arial"/>
        </w:rPr>
        <w:t>Centralny system teleinformatyczny</w:t>
      </w:r>
      <w:r w:rsidR="0031015E">
        <w:rPr>
          <w:rFonts w:eastAsia="Calibri" w:cs="Arial"/>
        </w:rPr>
        <w:t xml:space="preserve"> </w:t>
      </w:r>
      <w:r w:rsidRPr="00A51F43">
        <w:rPr>
          <w:rFonts w:eastAsia="Calibri" w:cs="Arial"/>
        </w:rPr>
        <w:t xml:space="preserve">– system teleinformatyczny, </w:t>
      </w:r>
      <w:r w:rsidR="00590863">
        <w:rPr>
          <w:rFonts w:eastAsia="Calibri" w:cs="Arial"/>
        </w:rPr>
        <w:br/>
      </w:r>
      <w:r w:rsidRPr="00A51F43">
        <w:rPr>
          <w:rFonts w:eastAsia="Calibri" w:cs="Arial"/>
        </w:rPr>
        <w:t>o którym mowa w art. 2 pkt 29 ustawy</w:t>
      </w:r>
      <w:r w:rsidR="00C2198C">
        <w:rPr>
          <w:rFonts w:eastAsia="Calibri" w:cs="Arial"/>
        </w:rPr>
        <w:t xml:space="preserve"> </w:t>
      </w:r>
      <w:r w:rsidR="00C2198C" w:rsidRPr="0057187F">
        <w:rPr>
          <w:rFonts w:cs="Arial"/>
        </w:rPr>
        <w:t xml:space="preserve">z dnia 28 kwietnia 2022 r. </w:t>
      </w:r>
      <w:r w:rsidR="00590863">
        <w:rPr>
          <w:rFonts w:cs="Arial"/>
        </w:rPr>
        <w:br/>
      </w:r>
      <w:r w:rsidR="00C2198C" w:rsidRPr="0057187F">
        <w:rPr>
          <w:rFonts w:cs="Arial"/>
        </w:rPr>
        <w:t>o zasadach realizacji zadań finansowanych ze środków europejskich w perspektywie finansowej 2021–2027</w:t>
      </w:r>
      <w:r w:rsidRPr="00A51F43">
        <w:rPr>
          <w:rFonts w:eastAsia="Calibri" w:cs="Arial"/>
        </w:rPr>
        <w:t xml:space="preserve"> </w:t>
      </w:r>
    </w:p>
    <w:p w14:paraId="748CF39D" w14:textId="562496F7" w:rsidR="00C86B2C" w:rsidRPr="0057187F" w:rsidRDefault="00C86B2C" w:rsidP="0057187F">
      <w:pPr>
        <w:spacing w:before="120" w:after="120" w:line="360" w:lineRule="auto"/>
        <w:rPr>
          <w:rFonts w:cs="Arial"/>
          <w:szCs w:val="20"/>
        </w:rPr>
      </w:pPr>
      <w:r w:rsidRPr="0057187F">
        <w:rPr>
          <w:rFonts w:cs="Arial"/>
          <w:szCs w:val="20"/>
        </w:rPr>
        <w:t>EFRR – Europejski Fundusz Rozwoju Regionalnego</w:t>
      </w:r>
    </w:p>
    <w:p w14:paraId="5E6AB8E2" w14:textId="77777777" w:rsidR="00C86B2C" w:rsidRPr="0057187F" w:rsidRDefault="00C86B2C" w:rsidP="0057187F">
      <w:pPr>
        <w:spacing w:before="120" w:after="120" w:line="360" w:lineRule="auto"/>
        <w:rPr>
          <w:rFonts w:cs="Arial"/>
          <w:szCs w:val="20"/>
        </w:rPr>
      </w:pPr>
      <w:r w:rsidRPr="0057187F">
        <w:rPr>
          <w:rFonts w:cs="Arial"/>
          <w:szCs w:val="20"/>
        </w:rPr>
        <w:t>EFS+ – Europejski Fundusz Społeczny Plus</w:t>
      </w:r>
    </w:p>
    <w:p w14:paraId="3F4390D7" w14:textId="77777777" w:rsidR="00C86B2C" w:rsidRPr="0057187F" w:rsidRDefault="00C86B2C" w:rsidP="0057187F">
      <w:pPr>
        <w:spacing w:before="120" w:after="120" w:line="360" w:lineRule="auto"/>
        <w:rPr>
          <w:rFonts w:cs="Arial"/>
          <w:szCs w:val="20"/>
        </w:rPr>
      </w:pPr>
      <w:r w:rsidRPr="0057187F">
        <w:rPr>
          <w:rFonts w:cs="Arial"/>
          <w:szCs w:val="20"/>
        </w:rPr>
        <w:t>FS – Fundusz Spójności</w:t>
      </w:r>
    </w:p>
    <w:p w14:paraId="1E1860AC" w14:textId="77777777" w:rsidR="00C86B2C" w:rsidRPr="0057187F" w:rsidRDefault="00C86B2C" w:rsidP="0057187F">
      <w:pPr>
        <w:spacing w:before="120" w:after="120" w:line="360" w:lineRule="auto"/>
        <w:rPr>
          <w:rFonts w:cs="Arial"/>
          <w:szCs w:val="20"/>
        </w:rPr>
      </w:pPr>
      <w:r w:rsidRPr="0057187F">
        <w:rPr>
          <w:rFonts w:cs="Arial"/>
          <w:szCs w:val="20"/>
        </w:rPr>
        <w:t>FST – Fundusz na rzecz Sprawiedliwej Transformacji</w:t>
      </w:r>
    </w:p>
    <w:p w14:paraId="284174C9" w14:textId="77777777" w:rsidR="00C86B2C" w:rsidRPr="0057187F" w:rsidRDefault="00C86B2C" w:rsidP="0057187F">
      <w:pPr>
        <w:spacing w:before="120" w:after="120" w:line="360" w:lineRule="auto"/>
        <w:rPr>
          <w:rFonts w:cs="Arial"/>
          <w:szCs w:val="20"/>
        </w:rPr>
      </w:pPr>
      <w:r w:rsidRPr="0057187F">
        <w:rPr>
          <w:rFonts w:cs="Arial"/>
          <w:szCs w:val="20"/>
        </w:rPr>
        <w:t>IP – instytucja pośrednicząca</w:t>
      </w:r>
    </w:p>
    <w:p w14:paraId="722A15BD" w14:textId="77777777" w:rsidR="00C86B2C" w:rsidRPr="0057187F" w:rsidRDefault="00C86B2C" w:rsidP="0057187F">
      <w:pPr>
        <w:spacing w:before="120" w:after="120" w:line="360" w:lineRule="auto"/>
        <w:rPr>
          <w:rFonts w:cs="Arial"/>
          <w:szCs w:val="20"/>
        </w:rPr>
      </w:pPr>
      <w:r w:rsidRPr="0057187F">
        <w:rPr>
          <w:rFonts w:cs="Arial"/>
          <w:szCs w:val="20"/>
        </w:rPr>
        <w:t>IW – instytucja wdrażająca</w:t>
      </w:r>
    </w:p>
    <w:p w14:paraId="5390E1E1" w14:textId="1D2EC8D1" w:rsidR="00C86B2C" w:rsidRPr="0057187F" w:rsidRDefault="00C86B2C" w:rsidP="0057187F">
      <w:pPr>
        <w:spacing w:before="120" w:after="120" w:line="360" w:lineRule="auto"/>
        <w:rPr>
          <w:rFonts w:cs="Arial"/>
          <w:szCs w:val="20"/>
        </w:rPr>
      </w:pPr>
      <w:r w:rsidRPr="0057187F">
        <w:rPr>
          <w:rFonts w:cs="Arial"/>
          <w:szCs w:val="20"/>
        </w:rPr>
        <w:t>IZ – instytucja zarządzająca</w:t>
      </w:r>
    </w:p>
    <w:p w14:paraId="78365611" w14:textId="3A96280C" w:rsidR="00C86B2C" w:rsidRPr="0057187F" w:rsidRDefault="00C86B2C" w:rsidP="0057187F">
      <w:pPr>
        <w:spacing w:before="120" w:after="120" w:line="360" w:lineRule="auto"/>
        <w:rPr>
          <w:rFonts w:cs="Arial"/>
          <w:szCs w:val="20"/>
        </w:rPr>
      </w:pPr>
      <w:r w:rsidRPr="0057187F">
        <w:rPr>
          <w:rFonts w:cs="Arial"/>
          <w:szCs w:val="20"/>
        </w:rPr>
        <w:t xml:space="preserve">KPP – Karta praw podstawowych Unii Europejskiej z dnia 6 </w:t>
      </w:r>
      <w:r w:rsidR="0068255F">
        <w:rPr>
          <w:rFonts w:cs="Arial"/>
          <w:szCs w:val="20"/>
        </w:rPr>
        <w:t>czerwca</w:t>
      </w:r>
      <w:r w:rsidR="0068255F" w:rsidRPr="0057187F">
        <w:rPr>
          <w:rFonts w:cs="Arial"/>
          <w:szCs w:val="20"/>
        </w:rPr>
        <w:t xml:space="preserve"> </w:t>
      </w:r>
      <w:r w:rsidRPr="0057187F">
        <w:rPr>
          <w:rFonts w:cs="Arial"/>
          <w:szCs w:val="20"/>
        </w:rPr>
        <w:t>201</w:t>
      </w:r>
      <w:r w:rsidR="0068255F">
        <w:rPr>
          <w:rFonts w:cs="Arial"/>
          <w:szCs w:val="20"/>
        </w:rPr>
        <w:t>6</w:t>
      </w:r>
      <w:r w:rsidRPr="0057187F">
        <w:rPr>
          <w:rFonts w:cs="Arial"/>
          <w:szCs w:val="20"/>
        </w:rPr>
        <w:t xml:space="preserve"> r. </w:t>
      </w:r>
      <w:r w:rsidR="00590863">
        <w:rPr>
          <w:rFonts w:cs="Arial"/>
          <w:szCs w:val="20"/>
        </w:rPr>
        <w:br/>
      </w:r>
      <w:r w:rsidRPr="0057187F">
        <w:rPr>
          <w:rFonts w:cs="Arial"/>
          <w:szCs w:val="20"/>
        </w:rPr>
        <w:t xml:space="preserve">(Dz. Urz. UE C </w:t>
      </w:r>
      <w:r w:rsidR="0068255F">
        <w:rPr>
          <w:rFonts w:cs="Arial"/>
          <w:szCs w:val="20"/>
        </w:rPr>
        <w:t>202</w:t>
      </w:r>
      <w:r w:rsidRPr="0057187F">
        <w:rPr>
          <w:rFonts w:cs="Arial"/>
          <w:szCs w:val="20"/>
        </w:rPr>
        <w:t xml:space="preserve"> z </w:t>
      </w:r>
      <w:r w:rsidR="0068255F">
        <w:rPr>
          <w:rFonts w:cs="Arial"/>
          <w:szCs w:val="20"/>
        </w:rPr>
        <w:t>7</w:t>
      </w:r>
      <w:r w:rsidRPr="0057187F">
        <w:rPr>
          <w:rFonts w:cs="Arial"/>
          <w:szCs w:val="20"/>
        </w:rPr>
        <w:t>.0</w:t>
      </w:r>
      <w:r w:rsidR="0068255F">
        <w:rPr>
          <w:rFonts w:cs="Arial"/>
          <w:szCs w:val="20"/>
        </w:rPr>
        <w:t>6</w:t>
      </w:r>
      <w:r w:rsidRPr="0057187F">
        <w:rPr>
          <w:rFonts w:cs="Arial"/>
          <w:szCs w:val="20"/>
        </w:rPr>
        <w:t>.201</w:t>
      </w:r>
      <w:r w:rsidR="0068255F">
        <w:rPr>
          <w:rFonts w:cs="Arial"/>
          <w:szCs w:val="20"/>
        </w:rPr>
        <w:t>6</w:t>
      </w:r>
      <w:r w:rsidRPr="0057187F">
        <w:rPr>
          <w:rFonts w:cs="Arial"/>
          <w:szCs w:val="20"/>
        </w:rPr>
        <w:t>, str. 3</w:t>
      </w:r>
      <w:r w:rsidR="0068255F">
        <w:rPr>
          <w:rFonts w:cs="Arial"/>
          <w:szCs w:val="20"/>
        </w:rPr>
        <w:t>890</w:t>
      </w:r>
      <w:r w:rsidRPr="0057187F">
        <w:rPr>
          <w:rFonts w:cs="Arial"/>
          <w:szCs w:val="20"/>
        </w:rPr>
        <w:t>)</w:t>
      </w:r>
    </w:p>
    <w:p w14:paraId="5790C881" w14:textId="4D9541ED" w:rsidR="00C86B2C" w:rsidRPr="0057187F" w:rsidRDefault="00C86B2C" w:rsidP="0057187F">
      <w:pPr>
        <w:spacing w:before="120" w:after="120" w:line="360" w:lineRule="auto"/>
        <w:rPr>
          <w:rFonts w:cs="Arial"/>
          <w:szCs w:val="20"/>
        </w:rPr>
      </w:pPr>
      <w:r w:rsidRPr="0057187F">
        <w:rPr>
          <w:rFonts w:cs="Arial"/>
          <w:szCs w:val="20"/>
        </w:rPr>
        <w:t xml:space="preserve">KPON – Konwencja o prawach osób niepełnosprawnych, sporządzona w </w:t>
      </w:r>
      <w:r w:rsidR="00590863">
        <w:rPr>
          <w:rFonts w:cs="Arial"/>
          <w:szCs w:val="20"/>
        </w:rPr>
        <w:br/>
      </w:r>
      <w:r w:rsidRPr="0057187F">
        <w:rPr>
          <w:rFonts w:cs="Arial"/>
          <w:szCs w:val="20"/>
        </w:rPr>
        <w:t xml:space="preserve">Nowym Jorku dnia 13 grudnia 2006 r. (Dz. U. z 2012 r. poz. 1169, z </w:t>
      </w:r>
      <w:proofErr w:type="spellStart"/>
      <w:r w:rsidRPr="0057187F">
        <w:rPr>
          <w:rFonts w:cs="Arial"/>
          <w:szCs w:val="20"/>
        </w:rPr>
        <w:t>późn</w:t>
      </w:r>
      <w:proofErr w:type="spellEnd"/>
      <w:r w:rsidRPr="0057187F">
        <w:rPr>
          <w:rFonts w:cs="Arial"/>
          <w:szCs w:val="20"/>
        </w:rPr>
        <w:t>. zm.)</w:t>
      </w:r>
    </w:p>
    <w:p w14:paraId="6868E04A" w14:textId="26DAB6EB" w:rsidR="00C86B2C" w:rsidRPr="0057187F" w:rsidRDefault="00C86B2C" w:rsidP="0057187F">
      <w:pPr>
        <w:spacing w:before="120" w:after="120" w:line="360" w:lineRule="auto"/>
        <w:rPr>
          <w:rFonts w:cs="Arial"/>
          <w:szCs w:val="20"/>
        </w:rPr>
      </w:pPr>
      <w:r w:rsidRPr="0057187F">
        <w:rPr>
          <w:rFonts w:cs="Arial"/>
          <w:szCs w:val="20"/>
        </w:rPr>
        <w:t>MRU – mechanizm racjonalnych usprawnień</w:t>
      </w:r>
    </w:p>
    <w:p w14:paraId="79C8904F" w14:textId="5879DD35" w:rsidR="001D6AF8" w:rsidRDefault="00C86B2C" w:rsidP="0057187F">
      <w:pPr>
        <w:spacing w:before="120" w:after="120" w:line="360" w:lineRule="auto"/>
        <w:rPr>
          <w:rFonts w:cs="Arial"/>
          <w:szCs w:val="20"/>
        </w:rPr>
      </w:pPr>
      <w:r w:rsidRPr="0057187F">
        <w:rPr>
          <w:rFonts w:cs="Arial"/>
          <w:szCs w:val="20"/>
        </w:rPr>
        <w:t>UE – Unia Europejska</w:t>
      </w:r>
    </w:p>
    <w:p w14:paraId="3FC4A994" w14:textId="2D8B219D" w:rsidR="005263E8" w:rsidRDefault="0074645C" w:rsidP="0057187F">
      <w:pPr>
        <w:spacing w:before="120" w:after="120" w:line="360" w:lineRule="auto"/>
        <w:rPr>
          <w:rFonts w:cs="Arial"/>
        </w:rPr>
      </w:pPr>
      <w:r w:rsidRPr="006A610D">
        <w:rPr>
          <w:rFonts w:cs="Arial"/>
        </w:rPr>
        <w:t xml:space="preserve">SL2021 </w:t>
      </w:r>
      <w:r>
        <w:rPr>
          <w:rFonts w:cs="Arial"/>
        </w:rPr>
        <w:t>-  aplikacji ekosystemu CST2021</w:t>
      </w:r>
      <w:r w:rsidR="00C2198C">
        <w:rPr>
          <w:rFonts w:cs="Arial"/>
        </w:rPr>
        <w:t>,</w:t>
      </w:r>
      <w:r w:rsidRPr="006A610D">
        <w:rPr>
          <w:rFonts w:cs="Arial"/>
        </w:rPr>
        <w:t xml:space="preserve"> </w:t>
      </w:r>
      <w:r w:rsidR="001C00AF" w:rsidRPr="001C00AF">
        <w:rPr>
          <w:rFonts w:cs="Arial"/>
        </w:rPr>
        <w:t xml:space="preserve">wspierająca realizację projektów </w:t>
      </w:r>
      <w:r w:rsidR="00590863">
        <w:rPr>
          <w:rFonts w:cs="Arial"/>
        </w:rPr>
        <w:br/>
      </w:r>
      <w:r w:rsidR="001C00AF" w:rsidRPr="001C00AF">
        <w:rPr>
          <w:rFonts w:cs="Arial"/>
        </w:rPr>
        <w:t xml:space="preserve">w perspektywie </w:t>
      </w:r>
      <w:r w:rsidR="00C2198C">
        <w:rPr>
          <w:rFonts w:cs="Arial"/>
        </w:rPr>
        <w:t xml:space="preserve">finansowej polityki spójności </w:t>
      </w:r>
      <w:r w:rsidR="001C00AF" w:rsidRPr="001C00AF">
        <w:rPr>
          <w:rFonts w:cs="Arial"/>
        </w:rPr>
        <w:t>2021-</w:t>
      </w:r>
      <w:r w:rsidR="005263E8">
        <w:rPr>
          <w:rFonts w:cs="Arial"/>
        </w:rPr>
        <w:t>20</w:t>
      </w:r>
      <w:r w:rsidR="001C00AF" w:rsidRPr="001C00AF">
        <w:rPr>
          <w:rFonts w:cs="Arial"/>
        </w:rPr>
        <w:t xml:space="preserve">27. </w:t>
      </w:r>
    </w:p>
    <w:p w14:paraId="1391FA54" w14:textId="73C83227" w:rsidR="003C167D" w:rsidRPr="004F5327" w:rsidRDefault="003C167D" w:rsidP="0057187F">
      <w:pPr>
        <w:spacing w:before="120" w:after="120" w:line="360" w:lineRule="auto"/>
        <w:rPr>
          <w:rFonts w:cs="Arial"/>
          <w:szCs w:val="20"/>
          <w:lang w:val="en-US"/>
        </w:rPr>
      </w:pPr>
      <w:r w:rsidRPr="004F5327">
        <w:rPr>
          <w:rFonts w:cs="Arial"/>
          <w:szCs w:val="20"/>
          <w:lang w:val="en-US"/>
        </w:rPr>
        <w:t xml:space="preserve">WCAG - </w:t>
      </w:r>
      <w:r w:rsidRPr="004F5327">
        <w:rPr>
          <w:rFonts w:cs="Arial"/>
          <w:lang w:val="en-US"/>
        </w:rPr>
        <w:t>Web Content Accessibility Guidelines</w:t>
      </w:r>
    </w:p>
    <w:p w14:paraId="1E552614" w14:textId="7C61511B" w:rsidR="001D6AF8" w:rsidRPr="004F5327" w:rsidRDefault="001D6AF8" w:rsidP="0057187F">
      <w:pPr>
        <w:pStyle w:val="Nagwek1"/>
        <w:rPr>
          <w:rFonts w:cs="Arial"/>
          <w:lang w:val="en-US"/>
        </w:rPr>
      </w:pPr>
      <w:bookmarkStart w:id="6" w:name="_Toc98428188"/>
      <w:bookmarkStart w:id="7" w:name="_Toc98761660"/>
      <w:bookmarkStart w:id="8" w:name="_Toc98934364"/>
      <w:bookmarkStart w:id="9" w:name="_Toc108787444"/>
      <w:proofErr w:type="spellStart"/>
      <w:r w:rsidRPr="004F5327">
        <w:rPr>
          <w:rFonts w:cs="Arial"/>
          <w:lang w:val="en-US"/>
        </w:rPr>
        <w:t>Wykaz</w:t>
      </w:r>
      <w:proofErr w:type="spellEnd"/>
      <w:r w:rsidRPr="004F5327">
        <w:rPr>
          <w:rFonts w:cs="Arial"/>
          <w:lang w:val="en-US"/>
        </w:rPr>
        <w:t xml:space="preserve"> </w:t>
      </w:r>
      <w:proofErr w:type="spellStart"/>
      <w:r w:rsidRPr="004F5327">
        <w:rPr>
          <w:rFonts w:cs="Arial"/>
          <w:lang w:val="en-US"/>
        </w:rPr>
        <w:t>pojęć</w:t>
      </w:r>
      <w:bookmarkEnd w:id="6"/>
      <w:bookmarkEnd w:id="7"/>
      <w:bookmarkEnd w:id="8"/>
      <w:bookmarkEnd w:id="9"/>
      <w:proofErr w:type="spellEnd"/>
    </w:p>
    <w:p w14:paraId="6CB54DAF" w14:textId="720EFC48" w:rsidR="00C86B2C" w:rsidRPr="0057187F" w:rsidRDefault="00C86B2C" w:rsidP="0057187F">
      <w:pPr>
        <w:spacing w:before="120" w:after="120" w:line="360" w:lineRule="auto"/>
        <w:rPr>
          <w:rFonts w:cs="Arial"/>
        </w:rPr>
      </w:pPr>
      <w:proofErr w:type="spellStart"/>
      <w:r w:rsidRPr="0057187F">
        <w:rPr>
          <w:rFonts w:cs="Arial"/>
          <w:b/>
          <w:bCs/>
        </w:rPr>
        <w:t>Audiodeskrypcja</w:t>
      </w:r>
      <w:proofErr w:type="spellEnd"/>
      <w:r w:rsidRPr="0057187F">
        <w:rPr>
          <w:rFonts w:cs="Arial"/>
        </w:rPr>
        <w:t xml:space="preserve"> – słowny opis obrazu (warstwy wizualnej grafiki lub filmu) </w:t>
      </w:r>
      <w:r w:rsidR="00590863">
        <w:rPr>
          <w:rFonts w:cs="Arial"/>
        </w:rPr>
        <w:br/>
      </w:r>
      <w:r w:rsidRPr="0057187F">
        <w:rPr>
          <w:rFonts w:cs="Arial"/>
        </w:rPr>
        <w:t xml:space="preserve">w postaci ścieżki dźwiękowej (pliku audio). W filmach </w:t>
      </w:r>
      <w:proofErr w:type="spellStart"/>
      <w:r w:rsidRPr="0057187F">
        <w:rPr>
          <w:rFonts w:cs="Arial"/>
        </w:rPr>
        <w:t>audiodeskrypcja</w:t>
      </w:r>
      <w:proofErr w:type="spellEnd"/>
      <w:r w:rsidRPr="0057187F">
        <w:rPr>
          <w:rFonts w:cs="Arial"/>
        </w:rPr>
        <w:t xml:space="preserve"> stanowi część ścieżki audio filmu (lektorka/lektor opisuje to co widać na ekranie w czasie, gdy nie ma dialogów). Dla grafik </w:t>
      </w:r>
      <w:proofErr w:type="spellStart"/>
      <w:r w:rsidRPr="0057187F">
        <w:rPr>
          <w:rFonts w:cs="Arial"/>
        </w:rPr>
        <w:t>audiodeskrypcja</w:t>
      </w:r>
      <w:proofErr w:type="spellEnd"/>
      <w:r w:rsidRPr="0057187F">
        <w:rPr>
          <w:rFonts w:cs="Arial"/>
        </w:rPr>
        <w:t xml:space="preserve"> może być plikiem dźwiękowym umieszczonym na stronie www lub w </w:t>
      </w:r>
      <w:proofErr w:type="spellStart"/>
      <w:r w:rsidRPr="0057187F">
        <w:rPr>
          <w:rFonts w:cs="Arial"/>
        </w:rPr>
        <w:t>audioprzewodniku</w:t>
      </w:r>
      <w:proofErr w:type="spellEnd"/>
      <w:r w:rsidRPr="0057187F">
        <w:rPr>
          <w:rFonts w:cs="Arial"/>
        </w:rPr>
        <w:t xml:space="preserve">. Podczas wydarzeń (mecze, </w:t>
      </w:r>
      <w:r w:rsidRPr="0057187F">
        <w:rPr>
          <w:rFonts w:cs="Arial"/>
        </w:rPr>
        <w:lastRenderedPageBreak/>
        <w:t xml:space="preserve">koncerty) </w:t>
      </w:r>
      <w:proofErr w:type="spellStart"/>
      <w:r w:rsidRPr="0057187F">
        <w:rPr>
          <w:rFonts w:cs="Arial"/>
        </w:rPr>
        <w:t>audiodeskrypcja</w:t>
      </w:r>
      <w:proofErr w:type="spellEnd"/>
      <w:r w:rsidRPr="0057187F">
        <w:rPr>
          <w:rFonts w:cs="Arial"/>
        </w:rPr>
        <w:t xml:space="preserve"> może mieć formę transmisji na żywo w radiu, </w:t>
      </w:r>
      <w:r w:rsidR="007D165E">
        <w:rPr>
          <w:rFonts w:cs="Arial"/>
        </w:rPr>
        <w:t xml:space="preserve">telewizji, </w:t>
      </w:r>
      <w:r w:rsidRPr="0057187F">
        <w:rPr>
          <w:rFonts w:cs="Arial"/>
        </w:rPr>
        <w:t xml:space="preserve">Internecie lub przekazywanej bezpośrednio przez </w:t>
      </w:r>
      <w:proofErr w:type="spellStart"/>
      <w:r w:rsidRPr="0057187F">
        <w:rPr>
          <w:rFonts w:cs="Arial"/>
        </w:rPr>
        <w:t>deskryptorkę</w:t>
      </w:r>
      <w:proofErr w:type="spellEnd"/>
      <w:r w:rsidRPr="0057187F">
        <w:rPr>
          <w:rFonts w:cs="Arial"/>
        </w:rPr>
        <w:t>/deskryptora;</w:t>
      </w:r>
    </w:p>
    <w:p w14:paraId="6D13A7AA" w14:textId="1CDE3559" w:rsidR="00C86B2C" w:rsidRPr="0057187F" w:rsidRDefault="00C86B2C" w:rsidP="0057187F">
      <w:pPr>
        <w:spacing w:before="120" w:after="120" w:line="360" w:lineRule="auto"/>
        <w:rPr>
          <w:rFonts w:cs="Arial"/>
        </w:rPr>
      </w:pPr>
      <w:r w:rsidRPr="0057187F">
        <w:rPr>
          <w:rFonts w:cs="Arial"/>
          <w:b/>
          <w:bCs/>
        </w:rPr>
        <w:t>Dostępność</w:t>
      </w:r>
      <w:r w:rsidRPr="0057187F">
        <w:rPr>
          <w:rFonts w:cs="Arial"/>
        </w:rPr>
        <w:t xml:space="preserve"> – możliwość korzystania z infrastruktury, transportu, technologii </w:t>
      </w:r>
      <w:r w:rsidR="00590863">
        <w:rPr>
          <w:rFonts w:cs="Arial"/>
        </w:rPr>
        <w:br/>
      </w:r>
      <w:r w:rsidRPr="0057187F">
        <w:rPr>
          <w:rFonts w:cs="Arial"/>
        </w:rPr>
        <w:t xml:space="preserve">i systemów informacyjno-komunikacyjnych oraz produktów i usług. Pozwala ona </w:t>
      </w:r>
      <w:r w:rsidR="00590863">
        <w:rPr>
          <w:rFonts w:cs="Arial"/>
        </w:rPr>
        <w:br/>
      </w:r>
      <w:r w:rsidR="001D4463">
        <w:rPr>
          <w:rFonts w:cs="Arial"/>
        </w:rPr>
        <w:t xml:space="preserve">w szczególności </w:t>
      </w:r>
      <w:r w:rsidRPr="0057187F">
        <w:rPr>
          <w:rFonts w:cs="Arial"/>
        </w:rPr>
        <w:t xml:space="preserve">osobom z niepełnosprawnościami i </w:t>
      </w:r>
      <w:r w:rsidR="001D4463">
        <w:rPr>
          <w:rFonts w:cs="Arial"/>
        </w:rPr>
        <w:t xml:space="preserve">osobom </w:t>
      </w:r>
      <w:r w:rsidRPr="0057187F">
        <w:rPr>
          <w:rFonts w:cs="Arial"/>
        </w:rPr>
        <w:t>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w:t>
      </w:r>
      <w:r w:rsidRPr="0057187F">
        <w:rPr>
          <w:rStyle w:val="Odwoanieprzypisudolnego"/>
          <w:rFonts w:cs="Arial"/>
        </w:rPr>
        <w:footnoteReference w:id="1"/>
      </w:r>
      <w:r w:rsidRPr="0057187F">
        <w:rPr>
          <w:rFonts w:cs="Arial"/>
        </w:rPr>
        <w:t xml:space="preserve"> obiekty, zakupione środki transportu;</w:t>
      </w:r>
    </w:p>
    <w:p w14:paraId="5D9DED73" w14:textId="13B145F1" w:rsidR="006560F1" w:rsidRDefault="00C86B2C" w:rsidP="0057187F">
      <w:pPr>
        <w:spacing w:before="120" w:after="120" w:line="360" w:lineRule="auto"/>
        <w:rPr>
          <w:rFonts w:cs="Arial"/>
        </w:rPr>
      </w:pPr>
      <w:r w:rsidRPr="0057187F">
        <w:rPr>
          <w:rFonts w:cs="Arial"/>
          <w:b/>
          <w:bCs/>
        </w:rPr>
        <w:t>Dyskryminacja</w:t>
      </w:r>
      <w:r w:rsidRPr="0057187F">
        <w:rPr>
          <w:rFonts w:cs="Arial"/>
        </w:rPr>
        <w:t xml:space="preserve"> –</w:t>
      </w:r>
      <w:r w:rsidR="001C6910">
        <w:rPr>
          <w:rFonts w:cs="Arial"/>
        </w:rPr>
        <w:t xml:space="preserve"> </w:t>
      </w:r>
      <w:r w:rsidRPr="0057187F">
        <w:rPr>
          <w:rFonts w:cs="Arial"/>
        </w:rPr>
        <w:t xml:space="preserve">różnicowanie, wykluczanie lub ograniczanie ze względu na jakiekolwiek przesłanki </w:t>
      </w:r>
      <w:r w:rsidR="00A65F11">
        <w:rPr>
          <w:rFonts w:cs="Arial"/>
        </w:rPr>
        <w:t>w szczególności</w:t>
      </w:r>
      <w:r w:rsidRPr="0057187F">
        <w:rPr>
          <w:rFonts w:cs="Arial"/>
        </w:rPr>
        <w:t xml:space="preserve">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w:t>
      </w:r>
      <w:r w:rsidR="00590863">
        <w:rPr>
          <w:rFonts w:cs="Arial"/>
        </w:rPr>
        <w:br/>
      </w:r>
      <w:r w:rsidRPr="0057187F">
        <w:rPr>
          <w:rFonts w:cs="Arial"/>
        </w:rPr>
        <w:t>z wszelkich praw człowieka i podstawowych wolności oraz ich wykonywania na zasadzie równości z innymi osobami</w:t>
      </w:r>
      <w:r w:rsidR="00514340">
        <w:rPr>
          <w:rFonts w:cs="Arial"/>
        </w:rPr>
        <w:t xml:space="preserve">. </w:t>
      </w:r>
    </w:p>
    <w:p w14:paraId="0315BC02" w14:textId="12D4E148" w:rsidR="00B31B04" w:rsidRPr="0057187F" w:rsidRDefault="00B31B04" w:rsidP="0057187F">
      <w:pPr>
        <w:spacing w:before="120" w:after="120" w:line="360" w:lineRule="auto"/>
        <w:rPr>
          <w:rFonts w:cs="Arial"/>
        </w:rPr>
      </w:pPr>
      <w:r w:rsidRPr="00DA067E">
        <w:rPr>
          <w:rFonts w:cs="Arial"/>
          <w:b/>
          <w:bCs/>
        </w:rPr>
        <w:t>IZ lub inna właściwa instytucja</w:t>
      </w:r>
      <w:r w:rsidRPr="00B31B04">
        <w:rPr>
          <w:rFonts w:cs="Arial"/>
        </w:rPr>
        <w:t xml:space="preserve"> </w:t>
      </w:r>
      <w:r>
        <w:rPr>
          <w:rFonts w:cs="Arial"/>
        </w:rPr>
        <w:t xml:space="preserve">– pojęcie to oznacza </w:t>
      </w:r>
      <w:r w:rsidRPr="00B31B04">
        <w:rPr>
          <w:rFonts w:cs="Arial"/>
        </w:rPr>
        <w:t xml:space="preserve">IZ </w:t>
      </w:r>
      <w:r>
        <w:rPr>
          <w:rFonts w:cs="Arial"/>
        </w:rPr>
        <w:t xml:space="preserve">lub inną instytucję, której </w:t>
      </w:r>
      <w:r w:rsidR="00590863">
        <w:rPr>
          <w:rFonts w:cs="Arial"/>
        </w:rPr>
        <w:br/>
      </w:r>
      <w:r>
        <w:rPr>
          <w:rFonts w:cs="Arial"/>
        </w:rPr>
        <w:t xml:space="preserve">IZ </w:t>
      </w:r>
      <w:r w:rsidRPr="00B31B04">
        <w:rPr>
          <w:rFonts w:cs="Arial"/>
        </w:rPr>
        <w:t>powierzyła wykonanie swoich zadań na mocy umowy lub porozumienia</w:t>
      </w:r>
      <w:r>
        <w:rPr>
          <w:rFonts w:cs="Arial"/>
        </w:rPr>
        <w:t xml:space="preserve"> (najczęściej IP lub IW)</w:t>
      </w:r>
      <w:r w:rsidRPr="00B31B04">
        <w:rPr>
          <w:rFonts w:cs="Arial"/>
        </w:rPr>
        <w:t>.</w:t>
      </w:r>
    </w:p>
    <w:p w14:paraId="1937EFC2" w14:textId="0BD33983" w:rsidR="007E3249" w:rsidRPr="0057187F" w:rsidRDefault="00C86B2C" w:rsidP="0057187F">
      <w:pPr>
        <w:spacing w:before="120" w:after="120" w:line="360" w:lineRule="auto"/>
        <w:rPr>
          <w:rFonts w:cs="Arial"/>
        </w:rPr>
      </w:pPr>
      <w:r w:rsidRPr="0057187F">
        <w:rPr>
          <w:rFonts w:cs="Arial"/>
          <w:b/>
          <w:bCs/>
        </w:rPr>
        <w:t>Mechanizm racjonalnych usprawnień (MRU)</w:t>
      </w:r>
      <w:r w:rsidRPr="0057187F">
        <w:rPr>
          <w:rFonts w:cs="Arial"/>
        </w:rPr>
        <w:t xml:space="preserve"> – oznacza możliwość sfinansowania specyficznych działań dostosowawczych, uruchamianych wraz z pojawieniem się </w:t>
      </w:r>
      <w:r w:rsidR="00590863">
        <w:rPr>
          <w:rFonts w:cs="Arial"/>
        </w:rPr>
        <w:br/>
      </w:r>
      <w:r w:rsidRPr="0057187F">
        <w:rPr>
          <w:rFonts w:cs="Arial"/>
        </w:rPr>
        <w:t>w projekcie realizowanym w ramach polityki spójności osoby z niepełnosprawnością (w charakterze uczestnika</w:t>
      </w:r>
      <w:r w:rsidR="001C6910">
        <w:rPr>
          <w:rFonts w:cs="Arial"/>
        </w:rPr>
        <w:t>/</w:t>
      </w:r>
      <w:r w:rsidRPr="0057187F">
        <w:rPr>
          <w:rFonts w:cs="Arial"/>
        </w:rPr>
        <w:t>uczestniczki lub personelu projektu)</w:t>
      </w:r>
      <w:r w:rsidR="001D4463">
        <w:rPr>
          <w:rFonts w:cs="Arial"/>
        </w:rPr>
        <w:t>.</w:t>
      </w:r>
      <w:r w:rsidR="001D4463" w:rsidRPr="001D4463">
        <w:t xml:space="preserve"> </w:t>
      </w:r>
      <w:r w:rsidR="001D4463" w:rsidRPr="001D4463">
        <w:rPr>
          <w:rFonts w:cs="Arial"/>
        </w:rPr>
        <w:t xml:space="preserve">Racjonalne usprawnienie oznacza konieczne i odpowiednie zmiany </w:t>
      </w:r>
      <w:r w:rsidR="001C6910">
        <w:rPr>
          <w:rFonts w:cs="Arial"/>
        </w:rPr>
        <w:t>oraz</w:t>
      </w:r>
      <w:r w:rsidR="001D4463" w:rsidRPr="001D4463">
        <w:rPr>
          <w:rFonts w:cs="Arial"/>
        </w:rPr>
        <w:t xml:space="preserve"> dostosowania, nie </w:t>
      </w:r>
      <w:r w:rsidR="001D4463" w:rsidRPr="001D4463">
        <w:rPr>
          <w:rFonts w:cs="Arial"/>
        </w:rPr>
        <w:lastRenderedPageBreak/>
        <w:t>nakładające nieproporcjonalnego lub nadmiernego obciążenia, jeśli jest to potrzebne w konkretnym przypadku</w:t>
      </w:r>
      <w:r w:rsidR="001D4463">
        <w:rPr>
          <w:rFonts w:cs="Arial"/>
        </w:rPr>
        <w:t>.</w:t>
      </w:r>
    </w:p>
    <w:p w14:paraId="3D29AD49" w14:textId="51293DB9" w:rsidR="00C86B2C" w:rsidRPr="0057187F" w:rsidRDefault="00C86B2C" w:rsidP="0057187F">
      <w:pPr>
        <w:spacing w:before="120" w:after="120" w:line="360" w:lineRule="auto"/>
        <w:rPr>
          <w:rFonts w:cs="Arial"/>
        </w:rPr>
      </w:pPr>
      <w:r w:rsidRPr="0057187F">
        <w:rPr>
          <w:rFonts w:cs="Arial"/>
          <w:b/>
          <w:bCs/>
        </w:rPr>
        <w:t xml:space="preserve">Napisy rozszerzone (ang. </w:t>
      </w:r>
      <w:proofErr w:type="spellStart"/>
      <w:r w:rsidRPr="0057187F">
        <w:rPr>
          <w:rFonts w:cs="Arial"/>
          <w:b/>
          <w:bCs/>
        </w:rPr>
        <w:t>captions</w:t>
      </w:r>
      <w:proofErr w:type="spellEnd"/>
      <w:r w:rsidRPr="0057187F">
        <w:rPr>
          <w:rFonts w:cs="Arial"/>
          <w:b/>
          <w:bCs/>
        </w:rPr>
        <w:t>)</w:t>
      </w:r>
      <w:r w:rsidRPr="0057187F">
        <w:rPr>
          <w:rFonts w:cs="Arial"/>
        </w:rPr>
        <w:t xml:space="preserve"> – informacja w postaci tekstu, która przedstawia to, co jest zawarte w ścieżce dźwiękowej danego pliku multimedialnego. Dodawana jest w celu przekazania znaczenia dźwięków osobom z </w:t>
      </w:r>
      <w:r w:rsidR="00590863">
        <w:rPr>
          <w:rFonts w:cs="Arial"/>
        </w:rPr>
        <w:t>n</w:t>
      </w:r>
      <w:r w:rsidRPr="0057187F">
        <w:rPr>
          <w:rFonts w:cs="Arial"/>
        </w:rPr>
        <w:t xml:space="preserve">iepełnosprawnością słuchu. Tekst jest wyświetlany w czasie rzeczywistym, tzn. jest zsynchronizowany z obrazem. Od zwykłych napisów (ang. </w:t>
      </w:r>
      <w:proofErr w:type="spellStart"/>
      <w:r w:rsidRPr="0057187F">
        <w:rPr>
          <w:rFonts w:cs="Arial"/>
        </w:rPr>
        <w:t>subtitles</w:t>
      </w:r>
      <w:proofErr w:type="spellEnd"/>
      <w:r w:rsidRPr="0057187F">
        <w:rPr>
          <w:rFonts w:cs="Arial"/>
        </w:rPr>
        <w:t xml:space="preserve">) różni się tym, </w:t>
      </w:r>
      <w:r w:rsidR="00590863">
        <w:rPr>
          <w:rFonts w:cs="Arial"/>
        </w:rPr>
        <w:br/>
      </w:r>
      <w:r w:rsidRPr="0057187F">
        <w:rPr>
          <w:rFonts w:cs="Arial"/>
        </w:rPr>
        <w:t xml:space="preserve">że oprócz wypowiadanych kwestii, napisy rozszerzone zawierają również opis wszelkich istotnych dźwięków – na przykład istotne odgłosy otoczenia, westchnienie, okrzyk, itp. Szczególną ich odmianą są napisy rozszerzone realizowane „na żywo”. Oznacza to na przykład, że przekaz wideo realizowany on-line w Internecie jest na bieżąco uzupełniany informacją w postaci napisów rozszerzonych. Pojawiają się one w osobnym oknie dialogowym (podobnie jak czat) lub w specjalnej aplikacji. </w:t>
      </w:r>
      <w:r w:rsidR="008627CF" w:rsidRPr="008627CF">
        <w:rPr>
          <w:rFonts w:cs="Arial"/>
        </w:rPr>
        <w:t xml:space="preserve">Napisy mogą być tworzone w sposób automatyczny z wykorzystaniem technologii </w:t>
      </w:r>
      <w:proofErr w:type="spellStart"/>
      <w:r w:rsidR="008627CF" w:rsidRPr="008627CF">
        <w:rPr>
          <w:rFonts w:cs="Arial"/>
        </w:rPr>
        <w:t>respeakingu</w:t>
      </w:r>
      <w:proofErr w:type="spellEnd"/>
      <w:r w:rsidRPr="0057187F">
        <w:rPr>
          <w:rFonts w:cs="Arial"/>
        </w:rPr>
        <w:t>;</w:t>
      </w:r>
    </w:p>
    <w:p w14:paraId="02E9A7C9" w14:textId="280051EF" w:rsidR="00C86B2C" w:rsidRPr="0057187F" w:rsidRDefault="00C86B2C" w:rsidP="0057187F">
      <w:pPr>
        <w:spacing w:before="120" w:after="120" w:line="360" w:lineRule="auto"/>
        <w:rPr>
          <w:rFonts w:cs="Arial"/>
        </w:rPr>
      </w:pPr>
      <w:r w:rsidRPr="0057187F">
        <w:rPr>
          <w:rFonts w:cs="Arial"/>
          <w:b/>
          <w:bCs/>
        </w:rPr>
        <w:t>Opis dostępności inwestycji</w:t>
      </w:r>
      <w:r w:rsidRPr="0057187F">
        <w:rPr>
          <w:rFonts w:cs="Arial"/>
        </w:rPr>
        <w:t xml:space="preserve"> – opis inwestycji infrastrukturalnej pod kątem sposobu jej udostępnienia dla osób z niepełnosprawnościami (oraz ewentualnie innych grup narażonych na wykluczenie ze względu na różne przesłanki wymienione w rozporządzeniu ogólnym</w:t>
      </w:r>
      <w:r w:rsidR="00297AF9">
        <w:rPr>
          <w:rFonts w:cs="Arial"/>
        </w:rPr>
        <w:t xml:space="preserve"> i KPP</w:t>
      </w:r>
      <w:r w:rsidRPr="0057187F">
        <w:rPr>
          <w:rFonts w:cs="Arial"/>
        </w:rPr>
        <w:t>) w zakresie dostosowania do warunków użytkowania</w:t>
      </w:r>
      <w:r w:rsidR="001C6910">
        <w:rPr>
          <w:rFonts w:cs="Arial"/>
        </w:rPr>
        <w:t>,</w:t>
      </w:r>
      <w:r w:rsidRPr="0057187F">
        <w:rPr>
          <w:rFonts w:cs="Arial"/>
        </w:rPr>
        <w:t xml:space="preserve"> w szczególności w zakresie mobilności, percepcji, sprawności sensorycznej, komunikowania się;</w:t>
      </w:r>
    </w:p>
    <w:p w14:paraId="58D66A76" w14:textId="3CF8AAD7" w:rsidR="00C86B2C" w:rsidRPr="0057187F" w:rsidRDefault="00C86B2C" w:rsidP="0057187F">
      <w:pPr>
        <w:spacing w:before="120" w:after="120" w:line="360" w:lineRule="auto"/>
        <w:rPr>
          <w:rFonts w:cs="Arial"/>
        </w:rPr>
      </w:pPr>
      <w:r w:rsidRPr="0057187F">
        <w:rPr>
          <w:rFonts w:cs="Arial"/>
          <w:b/>
          <w:bCs/>
        </w:rPr>
        <w:t>Osoby z niepełnosprawnościami</w:t>
      </w:r>
      <w:r w:rsidR="001D4463">
        <w:rPr>
          <w:rFonts w:cs="Arial"/>
        </w:rPr>
        <w:t>:</w:t>
      </w:r>
    </w:p>
    <w:p w14:paraId="34BF23A9" w14:textId="3631BC6C" w:rsidR="00C86B2C" w:rsidRPr="0057187F" w:rsidRDefault="00C86B2C" w:rsidP="0057187F">
      <w:pPr>
        <w:pStyle w:val="Akapitzlist"/>
        <w:numPr>
          <w:ilvl w:val="0"/>
          <w:numId w:val="2"/>
        </w:numPr>
        <w:spacing w:before="120" w:after="120" w:line="360" w:lineRule="auto"/>
        <w:rPr>
          <w:rFonts w:cs="Arial"/>
        </w:rPr>
      </w:pPr>
      <w:r w:rsidRPr="0057187F">
        <w:rPr>
          <w:rFonts w:cs="Arial"/>
        </w:rPr>
        <w:t xml:space="preserve">osoby niepełnosprawne w rozumieniu ustawy z dnia 27 sierpnia 1997 r. </w:t>
      </w:r>
      <w:r w:rsidR="00590863">
        <w:rPr>
          <w:rFonts w:cs="Arial"/>
        </w:rPr>
        <w:br/>
      </w:r>
      <w:r w:rsidRPr="0057187F">
        <w:rPr>
          <w:rFonts w:cs="Arial"/>
        </w:rPr>
        <w:t xml:space="preserve">o rehabilitacji zawodowej i społecznej oraz zatrudnianiu osób niepełnosprawnych (Dz. U. z 2021 r. poz. 573, z </w:t>
      </w:r>
      <w:proofErr w:type="spellStart"/>
      <w:r w:rsidRPr="0057187F">
        <w:rPr>
          <w:rFonts w:cs="Arial"/>
        </w:rPr>
        <w:t>późn</w:t>
      </w:r>
      <w:proofErr w:type="spellEnd"/>
      <w:r w:rsidRPr="0057187F">
        <w:rPr>
          <w:rFonts w:cs="Arial"/>
        </w:rPr>
        <w:t>. zm.),</w:t>
      </w:r>
    </w:p>
    <w:p w14:paraId="45D0CBE0" w14:textId="464D8830" w:rsidR="00C86B2C" w:rsidRPr="0057187F" w:rsidRDefault="00C86B2C" w:rsidP="0057187F">
      <w:pPr>
        <w:pStyle w:val="Akapitzlist"/>
        <w:numPr>
          <w:ilvl w:val="0"/>
          <w:numId w:val="2"/>
        </w:numPr>
        <w:spacing w:before="120" w:after="120" w:line="360" w:lineRule="auto"/>
        <w:rPr>
          <w:rFonts w:cs="Arial"/>
        </w:rPr>
      </w:pPr>
      <w:r w:rsidRPr="0057187F">
        <w:rPr>
          <w:rFonts w:cs="Arial"/>
        </w:rPr>
        <w:t>osoby z zaburzeniami psychicznymi w rozumieniu ustawy z dnia 19 sierpnia 1994 r. o ochronie zdrowia psychicznego (Dz. U. z 202</w:t>
      </w:r>
      <w:r w:rsidR="00B05676">
        <w:rPr>
          <w:rFonts w:cs="Arial"/>
        </w:rPr>
        <w:t>2</w:t>
      </w:r>
      <w:r w:rsidRPr="0057187F">
        <w:rPr>
          <w:rFonts w:cs="Arial"/>
        </w:rPr>
        <w:t xml:space="preserve"> r. poz. </w:t>
      </w:r>
      <w:r w:rsidR="00B05676">
        <w:rPr>
          <w:rFonts w:cs="Arial"/>
        </w:rPr>
        <w:t>2123</w:t>
      </w:r>
      <w:r w:rsidRPr="0057187F">
        <w:rPr>
          <w:rFonts w:cs="Arial"/>
        </w:rPr>
        <w:t>).</w:t>
      </w:r>
    </w:p>
    <w:p w14:paraId="4A773398" w14:textId="2D164963" w:rsidR="00C86B2C" w:rsidRPr="0057187F" w:rsidRDefault="00C86B2C" w:rsidP="0057187F">
      <w:pPr>
        <w:spacing w:before="120" w:after="120" w:line="360" w:lineRule="auto"/>
        <w:rPr>
          <w:rFonts w:cs="Arial"/>
        </w:rPr>
      </w:pPr>
      <w:r w:rsidRPr="0057187F">
        <w:rPr>
          <w:rFonts w:cs="Arial"/>
        </w:rPr>
        <w:t xml:space="preserve">Dla dzieci w wieku przedszkolnym oraz uczniów, wychowanków i słuchaczy szkół </w:t>
      </w:r>
      <w:r w:rsidR="00590863">
        <w:rPr>
          <w:rFonts w:cs="Arial"/>
        </w:rPr>
        <w:br/>
      </w:r>
      <w:r w:rsidRPr="0057187F">
        <w:rPr>
          <w:rFonts w:cs="Arial"/>
        </w:rPr>
        <w:t>i placówek systemu oświaty, na potrzeby wsparcia w celach szczegółowych określonych w art. 4 ust. 1 lit. e i f rozporządzenia EFS+, przyjmuje się definicję ucznia/dziecka z niepełnosprawnością, określoną w wytycznych dla projektów realizowanych ze środków EFS+;</w:t>
      </w:r>
    </w:p>
    <w:p w14:paraId="5A0318C5" w14:textId="4B0A1FC0" w:rsidR="00C86B2C" w:rsidRPr="0057187F" w:rsidRDefault="00C86B2C" w:rsidP="0057187F">
      <w:pPr>
        <w:spacing w:before="120" w:after="120" w:line="360" w:lineRule="auto"/>
        <w:rPr>
          <w:rFonts w:cs="Arial"/>
        </w:rPr>
      </w:pPr>
      <w:r w:rsidRPr="0057187F">
        <w:rPr>
          <w:rFonts w:cs="Arial"/>
          <w:b/>
          <w:bCs/>
        </w:rPr>
        <w:lastRenderedPageBreak/>
        <w:t>Pętla indukcyjna</w:t>
      </w:r>
      <w:r w:rsidRPr="0057187F">
        <w:rPr>
          <w:rFonts w:cs="Arial"/>
        </w:rPr>
        <w:t xml:space="preserve"> – system wspomagania słuchu, który umożliwia osobie niedosłyszącej odbiór czystego i wyraźnego dźwięku poprzez cewkę telefoniczną, </w:t>
      </w:r>
      <w:r w:rsidR="00590863">
        <w:rPr>
          <w:rFonts w:cs="Arial"/>
        </w:rPr>
        <w:br/>
      </w:r>
      <w:r w:rsidRPr="0057187F">
        <w:rPr>
          <w:rFonts w:cs="Arial"/>
        </w:rPr>
        <w:t>w którą wyposażona jest większość aparatów słuchowych. Pętle indukcyjne stosuje się w miejscach, gdzie panuje duży hałas, o dużym pogłosie lub tam, gdzie potrzebna jest dobra zrozumiałość mowy;</w:t>
      </w:r>
    </w:p>
    <w:p w14:paraId="43DA3381" w14:textId="5E70D8D9" w:rsidR="00C86B2C" w:rsidRPr="0057187F" w:rsidRDefault="00C86B2C" w:rsidP="0057187F">
      <w:pPr>
        <w:spacing w:before="120" w:after="120" w:line="360" w:lineRule="auto"/>
        <w:rPr>
          <w:rFonts w:cs="Arial"/>
        </w:rPr>
      </w:pPr>
      <w:r w:rsidRPr="0057187F">
        <w:rPr>
          <w:rFonts w:cs="Arial"/>
          <w:b/>
          <w:bCs/>
        </w:rPr>
        <w:t xml:space="preserve">Podwójne podejście (ang. dual </w:t>
      </w:r>
      <w:proofErr w:type="spellStart"/>
      <w:r w:rsidRPr="0057187F">
        <w:rPr>
          <w:rFonts w:cs="Arial"/>
          <w:b/>
          <w:bCs/>
        </w:rPr>
        <w:t>approach</w:t>
      </w:r>
      <w:proofErr w:type="spellEnd"/>
      <w:r w:rsidRPr="0057187F">
        <w:rPr>
          <w:rFonts w:cs="Arial"/>
          <w:b/>
          <w:bCs/>
        </w:rPr>
        <w:t>)</w:t>
      </w:r>
      <w:r w:rsidRPr="0057187F">
        <w:rPr>
          <w:rFonts w:cs="Arial"/>
        </w:rPr>
        <w:t xml:space="preserve"> – podejście, dzięki któremu </w:t>
      </w:r>
      <w:r w:rsidR="00590863">
        <w:rPr>
          <w:rFonts w:cs="Arial"/>
        </w:rPr>
        <w:br/>
      </w:r>
      <w:r w:rsidRPr="0057187F">
        <w:rPr>
          <w:rFonts w:cs="Arial"/>
        </w:rPr>
        <w:t xml:space="preserve">w programach </w:t>
      </w:r>
      <w:r w:rsidR="00E70F7F">
        <w:rPr>
          <w:rFonts w:cs="Arial"/>
        </w:rPr>
        <w:t xml:space="preserve">na różnych poziomach </w:t>
      </w:r>
      <w:r w:rsidRPr="0057187F">
        <w:rPr>
          <w:rFonts w:cs="Arial"/>
        </w:rPr>
        <w:t>są</w:t>
      </w:r>
      <w:r w:rsidR="00555E27">
        <w:rPr>
          <w:rFonts w:cs="Arial"/>
        </w:rPr>
        <w:t xml:space="preserve"> zaplanowane i realizowane</w:t>
      </w:r>
      <w:r w:rsidRPr="0057187F">
        <w:rPr>
          <w:rFonts w:cs="Arial"/>
        </w:rPr>
        <w:t>:</w:t>
      </w:r>
    </w:p>
    <w:p w14:paraId="33263898" w14:textId="55086EDA" w:rsidR="00555E27" w:rsidRDefault="00C86B2C" w:rsidP="0057187F">
      <w:pPr>
        <w:pStyle w:val="Akapitzlist"/>
        <w:numPr>
          <w:ilvl w:val="0"/>
          <w:numId w:val="3"/>
        </w:numPr>
        <w:spacing w:before="120" w:after="120" w:line="360" w:lineRule="auto"/>
        <w:rPr>
          <w:rFonts w:cs="Arial"/>
        </w:rPr>
      </w:pPr>
      <w:r w:rsidRPr="0057187F">
        <w:rPr>
          <w:rFonts w:cs="Arial"/>
        </w:rPr>
        <w:t>działania/projekty</w:t>
      </w:r>
      <w:r w:rsidR="00555E27">
        <w:rPr>
          <w:rFonts w:cs="Arial"/>
        </w:rPr>
        <w:t xml:space="preserve"> bezpośrednio</w:t>
      </w:r>
      <w:r w:rsidRPr="0057187F">
        <w:rPr>
          <w:rFonts w:cs="Arial"/>
        </w:rPr>
        <w:t xml:space="preserve"> </w:t>
      </w:r>
      <w:r w:rsidR="00977259" w:rsidRPr="00977259">
        <w:rPr>
          <w:rFonts w:cs="Arial"/>
        </w:rPr>
        <w:t>nakierowane na przeciwdziałanie dyskryminacji w związku z trudniejszą sytuacją osób z grup narażonych na dyskryminację</w:t>
      </w:r>
      <w:r w:rsidR="00977259">
        <w:rPr>
          <w:rFonts w:cs="Arial"/>
        </w:rPr>
        <w:t xml:space="preserve"> </w:t>
      </w:r>
      <w:r w:rsidR="00555E27">
        <w:rPr>
          <w:rFonts w:cs="Arial"/>
        </w:rPr>
        <w:t xml:space="preserve">(z uwagi na różne przesłanki) </w:t>
      </w:r>
      <w:r w:rsidRPr="0057187F">
        <w:rPr>
          <w:rFonts w:cs="Arial"/>
        </w:rPr>
        <w:t xml:space="preserve">w danym obszarze wsparcia, </w:t>
      </w:r>
    </w:p>
    <w:p w14:paraId="79A1507B" w14:textId="3F918EF7" w:rsidR="00C86B2C" w:rsidRPr="0057187F" w:rsidRDefault="00C86B2C" w:rsidP="0057187F">
      <w:pPr>
        <w:pStyle w:val="Akapitzlist"/>
        <w:numPr>
          <w:ilvl w:val="0"/>
          <w:numId w:val="3"/>
        </w:numPr>
        <w:spacing w:before="120" w:after="120" w:line="360" w:lineRule="auto"/>
        <w:rPr>
          <w:rFonts w:cs="Arial"/>
        </w:rPr>
      </w:pPr>
      <w:r w:rsidRPr="0057187F">
        <w:rPr>
          <w:rFonts w:cs="Arial"/>
        </w:rPr>
        <w:t xml:space="preserve">cele szczegółowe ukierunkowane </w:t>
      </w:r>
      <w:r w:rsidR="00555E27">
        <w:rPr>
          <w:rFonts w:cs="Arial"/>
        </w:rPr>
        <w:t>bezpośrednio</w:t>
      </w:r>
      <w:r w:rsidR="00555E27" w:rsidRPr="0057187F">
        <w:rPr>
          <w:rFonts w:cs="Arial"/>
        </w:rPr>
        <w:t xml:space="preserve"> </w:t>
      </w:r>
      <w:r w:rsidRPr="0057187F">
        <w:rPr>
          <w:rFonts w:cs="Arial"/>
        </w:rPr>
        <w:t>na wyrównywanie szans tam, gdzie pozwala na to linia demarkacyjna</w:t>
      </w:r>
      <w:r w:rsidRPr="0057187F">
        <w:rPr>
          <w:rStyle w:val="Odwoanieprzypisudolnego"/>
          <w:rFonts w:cs="Arial"/>
        </w:rPr>
        <w:footnoteReference w:id="2"/>
      </w:r>
      <w:r w:rsidRPr="0057187F">
        <w:rPr>
          <w:rFonts w:cs="Arial"/>
        </w:rPr>
        <w:t>;</w:t>
      </w:r>
    </w:p>
    <w:p w14:paraId="2715D288" w14:textId="2A3BDD57" w:rsidR="00C86B2C" w:rsidRPr="0057187F" w:rsidRDefault="00E70F7F" w:rsidP="0057187F">
      <w:pPr>
        <w:pStyle w:val="Akapitzlist"/>
        <w:numPr>
          <w:ilvl w:val="0"/>
          <w:numId w:val="3"/>
        </w:numPr>
        <w:spacing w:before="120" w:after="120" w:line="360" w:lineRule="auto"/>
        <w:rPr>
          <w:rFonts w:cs="Arial"/>
        </w:rPr>
      </w:pPr>
      <w:r>
        <w:rPr>
          <w:rFonts w:cs="Arial"/>
        </w:rPr>
        <w:t>działania uwzględniające zasady równościowe</w:t>
      </w:r>
      <w:r w:rsidR="00C86B2C" w:rsidRPr="0057187F">
        <w:rPr>
          <w:rFonts w:cs="Arial"/>
        </w:rPr>
        <w:t xml:space="preserve"> horyzontalnie</w:t>
      </w:r>
      <w:r>
        <w:rPr>
          <w:rFonts w:cs="Arial"/>
        </w:rPr>
        <w:t xml:space="preserve"> </w:t>
      </w:r>
      <w:bookmarkStart w:id="10" w:name="_Hlk114832558"/>
      <w:r>
        <w:rPr>
          <w:rFonts w:cs="Arial"/>
        </w:rPr>
        <w:t>-</w:t>
      </w:r>
      <w:r w:rsidRPr="0057187F">
        <w:rPr>
          <w:rFonts w:cs="Arial"/>
        </w:rPr>
        <w:t xml:space="preserve"> </w:t>
      </w:r>
      <w:r w:rsidR="00C86B2C" w:rsidRPr="0057187F">
        <w:rPr>
          <w:rFonts w:cs="Arial"/>
        </w:rPr>
        <w:t>na każdym etapie</w:t>
      </w:r>
      <w:r>
        <w:rPr>
          <w:rFonts w:cs="Arial"/>
        </w:rPr>
        <w:t xml:space="preserve">, </w:t>
      </w:r>
      <w:r w:rsidR="00C86B2C" w:rsidRPr="0057187F">
        <w:rPr>
          <w:rFonts w:cs="Arial"/>
        </w:rPr>
        <w:t xml:space="preserve">w każdym procesie </w:t>
      </w:r>
      <w:bookmarkStart w:id="11" w:name="_Hlk118701506"/>
      <w:r w:rsidR="00C86B2C" w:rsidRPr="008D5D4B">
        <w:rPr>
          <w:rFonts w:cs="Arial"/>
        </w:rPr>
        <w:t>tj</w:t>
      </w:r>
      <w:r w:rsidR="003A6720" w:rsidRPr="008D5D4B">
        <w:rPr>
          <w:rFonts w:cs="Arial"/>
        </w:rPr>
        <w:t xml:space="preserve">. </w:t>
      </w:r>
      <w:r w:rsidR="003A6720" w:rsidRPr="008D5D4B">
        <w:t>podczas przygotowywania, wdrażania, monitorowania, sprawozdawczości</w:t>
      </w:r>
      <w:r w:rsidR="003A6720" w:rsidRPr="00DA067E">
        <w:t>,</w:t>
      </w:r>
      <w:r w:rsidR="003A6720" w:rsidRPr="008D5D4B">
        <w:t xml:space="preserve"> ewaluacji</w:t>
      </w:r>
      <w:r w:rsidR="003A6720" w:rsidRPr="00DA067E">
        <w:t>, promocji i kontroli</w:t>
      </w:r>
      <w:r w:rsidR="003A6720" w:rsidRPr="008D5D4B">
        <w:t xml:space="preserve"> programów</w:t>
      </w:r>
      <w:bookmarkEnd w:id="10"/>
      <w:bookmarkEnd w:id="11"/>
      <w:r w:rsidR="00C86B2C" w:rsidRPr="0057187F">
        <w:rPr>
          <w:rFonts w:cs="Arial"/>
        </w:rPr>
        <w:t xml:space="preserve"> </w:t>
      </w:r>
      <w:r w:rsidR="00590863">
        <w:rPr>
          <w:rFonts w:cs="Arial"/>
        </w:rPr>
        <w:br/>
      </w:r>
      <w:r w:rsidR="00C86B2C" w:rsidRPr="0057187F">
        <w:rPr>
          <w:rFonts w:cs="Arial"/>
        </w:rPr>
        <w:t>i w każdym celu szczegółowym;</w:t>
      </w:r>
      <w:r w:rsidR="003A6720">
        <w:rPr>
          <w:rFonts w:cs="Arial"/>
        </w:rPr>
        <w:t xml:space="preserve"> </w:t>
      </w:r>
    </w:p>
    <w:p w14:paraId="0B3A6CAC" w14:textId="276E8124" w:rsidR="00C86B2C" w:rsidRPr="0057187F" w:rsidRDefault="00C86B2C" w:rsidP="0057187F">
      <w:pPr>
        <w:spacing w:before="120" w:after="120" w:line="360" w:lineRule="auto"/>
        <w:rPr>
          <w:rFonts w:cs="Arial"/>
        </w:rPr>
      </w:pPr>
      <w:r w:rsidRPr="0057187F">
        <w:rPr>
          <w:rFonts w:cs="Arial"/>
          <w:b/>
          <w:bCs/>
        </w:rPr>
        <w:t>Program</w:t>
      </w:r>
      <w:r w:rsidRPr="0057187F">
        <w:rPr>
          <w:rFonts w:cs="Arial"/>
        </w:rPr>
        <w:t xml:space="preserve"> – program w rozumieniu art. 2 ust. 20 ustawy;</w:t>
      </w:r>
    </w:p>
    <w:p w14:paraId="5B67BDFA" w14:textId="55A72AA5" w:rsidR="00C86B2C" w:rsidRDefault="00C86B2C" w:rsidP="0057187F">
      <w:pPr>
        <w:spacing w:before="120" w:after="120" w:line="360" w:lineRule="auto"/>
        <w:rPr>
          <w:rFonts w:cs="Arial"/>
        </w:rPr>
      </w:pPr>
      <w:r w:rsidRPr="0057187F">
        <w:rPr>
          <w:rFonts w:cs="Arial"/>
          <w:b/>
          <w:bCs/>
        </w:rPr>
        <w:t xml:space="preserve">Prosty język (ang. </w:t>
      </w:r>
      <w:proofErr w:type="spellStart"/>
      <w:r w:rsidRPr="0057187F">
        <w:rPr>
          <w:rFonts w:cs="Arial"/>
          <w:b/>
          <w:bCs/>
        </w:rPr>
        <w:t>plain</w:t>
      </w:r>
      <w:proofErr w:type="spellEnd"/>
      <w:r w:rsidRPr="0057187F">
        <w:rPr>
          <w:rFonts w:cs="Arial"/>
          <w:b/>
          <w:bCs/>
        </w:rPr>
        <w:t xml:space="preserve"> </w:t>
      </w:r>
      <w:proofErr w:type="spellStart"/>
      <w:r w:rsidRPr="0057187F">
        <w:rPr>
          <w:rFonts w:cs="Arial"/>
          <w:b/>
          <w:bCs/>
        </w:rPr>
        <w:t>language</w:t>
      </w:r>
      <w:proofErr w:type="spellEnd"/>
      <w:r w:rsidRPr="0057187F">
        <w:rPr>
          <w:rFonts w:cs="Arial"/>
          <w:b/>
          <w:bCs/>
        </w:rPr>
        <w:t>)</w:t>
      </w:r>
      <w:r w:rsidRPr="0057187F">
        <w:rPr>
          <w:rFonts w:cs="Arial"/>
        </w:rPr>
        <w:t xml:space="preserve"> – to sposób używania języka, np. polskiego (prosta polszczyzna). To styl pisania i prezentowania informacji w sposób zrozumiały dla większości społeczeństwa, w tym także osób, które słabo znają język polski. Tekst w prostym języku ma określone słowa, strukturę i układ graficzny, które sprawiają, że przeciętny odbiorca rozumie tekst tak szybko i łatwo, jak to jest możliwe. W prostym języku unikamy długich zdań (ponad 20 wyrazów), strony biernej, żargonu zawodowego, terminów specjalistycznych (jeśli nie możemy ich ominąć, wyjaśniamy). Stosujemy naturalną gramatykę i czasowniki w formie osobowej. Tekst w prostym języku uwzględnia potrzeby odbiorcy. Prosty język jest elementem dostępności, dzięki któremu odbiorcy rozumieją komunikaty i umieją </w:t>
      </w:r>
      <w:r w:rsidR="00590863">
        <w:rPr>
          <w:rFonts w:cs="Arial"/>
        </w:rPr>
        <w:br/>
      </w:r>
      <w:r w:rsidRPr="0057187F">
        <w:rPr>
          <w:rFonts w:cs="Arial"/>
        </w:rPr>
        <w:lastRenderedPageBreak/>
        <w:t>z nich korzystać. Ma zastosowanie do różnych rodzajów informacji: pisanej, elektronicznej, mówionej;</w:t>
      </w:r>
    </w:p>
    <w:p w14:paraId="745609E3" w14:textId="140C1A0E" w:rsidR="0013078B" w:rsidRPr="0057187F" w:rsidRDefault="0013078B" w:rsidP="0057187F">
      <w:pPr>
        <w:spacing w:before="120" w:after="120" w:line="360" w:lineRule="auto"/>
        <w:rPr>
          <w:rFonts w:cs="Arial"/>
        </w:rPr>
      </w:pPr>
      <w:r w:rsidRPr="00DA067E">
        <w:rPr>
          <w:rFonts w:cs="Arial"/>
          <w:b/>
          <w:bCs/>
        </w:rPr>
        <w:t>Przesłanki dyskryminujące</w:t>
      </w:r>
      <w:r>
        <w:rPr>
          <w:rFonts w:cs="Arial"/>
        </w:rPr>
        <w:t xml:space="preserve"> - </w:t>
      </w:r>
      <w:r w:rsidRPr="0013078B">
        <w:rPr>
          <w:rFonts w:cs="Arial"/>
        </w:rPr>
        <w:t>płeć, ras</w:t>
      </w:r>
      <w:r>
        <w:rPr>
          <w:rFonts w:cs="Arial"/>
        </w:rPr>
        <w:t>a</w:t>
      </w:r>
      <w:r w:rsidRPr="0013078B">
        <w:rPr>
          <w:rFonts w:cs="Arial"/>
        </w:rPr>
        <w:t>, kolor skóry, pochodzenie etniczne lub społeczne, cechy genetyczne, język, religi</w:t>
      </w:r>
      <w:r>
        <w:rPr>
          <w:rFonts w:cs="Arial"/>
        </w:rPr>
        <w:t>a</w:t>
      </w:r>
      <w:r w:rsidRPr="0013078B">
        <w:rPr>
          <w:rFonts w:cs="Arial"/>
        </w:rPr>
        <w:t xml:space="preserve"> lub przekonania, poglądy polityczne lub wszelkie inne poglądy, przynależność do mniejszości narodowej, majątek, urodzenie, niepełnosprawność, wiek lub orientacj</w:t>
      </w:r>
      <w:r>
        <w:rPr>
          <w:rFonts w:cs="Arial"/>
        </w:rPr>
        <w:t>a</w:t>
      </w:r>
      <w:r w:rsidRPr="0013078B">
        <w:rPr>
          <w:rFonts w:cs="Arial"/>
        </w:rPr>
        <w:t xml:space="preserve"> seksualn</w:t>
      </w:r>
      <w:r>
        <w:rPr>
          <w:rFonts w:cs="Arial"/>
        </w:rPr>
        <w:t>a;</w:t>
      </w:r>
    </w:p>
    <w:p w14:paraId="53914B53" w14:textId="1E21AA74" w:rsidR="00C86B2C" w:rsidRPr="0057187F" w:rsidRDefault="00C86B2C" w:rsidP="0057187F">
      <w:pPr>
        <w:spacing w:before="120" w:after="120" w:line="360" w:lineRule="auto"/>
        <w:rPr>
          <w:rFonts w:cs="Arial"/>
        </w:rPr>
      </w:pPr>
      <w:r w:rsidRPr="0057187F">
        <w:rPr>
          <w:rFonts w:cs="Arial"/>
          <w:b/>
          <w:bCs/>
        </w:rPr>
        <w:t>Racjonalne usprawnienia</w:t>
      </w:r>
      <w:r w:rsidRPr="0057187F">
        <w:rPr>
          <w:rFonts w:cs="Arial"/>
        </w:rPr>
        <w:t xml:space="preserve"> – konieczne i odpowiednie zmiany oraz dostosowania, które nie nakładają nieproporcjonalnego lub nadmiernego obciążenia. Rozpatrywane są osobno dla każdego konkretnego przypadku. Ich celem jest zapewnienie osobom z niepełnosprawnościami możliwości korzystania z wszelkich praw człowieka i podstawowych wolności oraz ich wykonywania na zasadzie równości z innymi osobami;</w:t>
      </w:r>
    </w:p>
    <w:p w14:paraId="08037F1B" w14:textId="77777777" w:rsidR="00C86B2C" w:rsidRPr="0057187F" w:rsidRDefault="00C86B2C" w:rsidP="0057187F">
      <w:pPr>
        <w:spacing w:before="120" w:after="120" w:line="360" w:lineRule="auto"/>
        <w:rPr>
          <w:rFonts w:cs="Arial"/>
        </w:rPr>
      </w:pPr>
      <w:r w:rsidRPr="0057187F">
        <w:rPr>
          <w:rFonts w:cs="Arial"/>
          <w:b/>
          <w:bCs/>
        </w:rPr>
        <w:t>Rozporządzenie EFS+</w:t>
      </w:r>
      <w:r w:rsidRPr="0057187F">
        <w:rPr>
          <w:rFonts w:cs="Arial"/>
        </w:rPr>
        <w:t xml:space="preserve"> – rozporządzenie Parlamentu Europejskiego i Rady (UE) 2021/1057 z dnia 24 czerwca 2021 r. ustanawiające Europejski Fundusz Społeczny Plus (EFS+) oraz uchylające rozporządzenie (UE) nr 1296/2013;</w:t>
      </w:r>
    </w:p>
    <w:p w14:paraId="092FDB05" w14:textId="091BE632" w:rsidR="00C86B2C" w:rsidRPr="0057187F" w:rsidRDefault="00C86B2C" w:rsidP="0057187F">
      <w:pPr>
        <w:spacing w:before="120" w:after="120" w:line="360" w:lineRule="auto"/>
        <w:rPr>
          <w:rFonts w:cs="Arial"/>
        </w:rPr>
      </w:pPr>
      <w:r w:rsidRPr="0057187F">
        <w:rPr>
          <w:rFonts w:cs="Arial"/>
          <w:b/>
          <w:bCs/>
        </w:rPr>
        <w:t>Rozporządzenie ogólne</w:t>
      </w:r>
      <w:r w:rsidRPr="0057187F">
        <w:rPr>
          <w:rFonts w:cs="Arial"/>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w:t>
      </w:r>
      <w:r w:rsidR="00590863">
        <w:rPr>
          <w:rFonts w:cs="Arial"/>
        </w:rPr>
        <w:br/>
      </w:r>
      <w:r w:rsidRPr="0057187F">
        <w:rPr>
          <w:rFonts w:cs="Arial"/>
        </w:rPr>
        <w:t xml:space="preserve">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57187F">
        <w:rPr>
          <w:rFonts w:cs="Arial"/>
        </w:rPr>
        <w:t>późn</w:t>
      </w:r>
      <w:proofErr w:type="spellEnd"/>
      <w:r w:rsidRPr="0057187F">
        <w:rPr>
          <w:rFonts w:cs="Arial"/>
        </w:rPr>
        <w:t>. zm.);</w:t>
      </w:r>
    </w:p>
    <w:p w14:paraId="5F45FDCB" w14:textId="60632157" w:rsidR="00C86B2C" w:rsidRPr="0057187F" w:rsidRDefault="00C86B2C" w:rsidP="0057187F">
      <w:pPr>
        <w:spacing w:before="120" w:after="120" w:line="360" w:lineRule="auto"/>
        <w:rPr>
          <w:rFonts w:cs="Arial"/>
        </w:rPr>
      </w:pPr>
      <w:r w:rsidRPr="0057187F">
        <w:rPr>
          <w:rFonts w:cs="Arial"/>
          <w:b/>
          <w:bCs/>
        </w:rPr>
        <w:t>Standard minimum</w:t>
      </w:r>
      <w:r w:rsidRPr="0057187F">
        <w:rPr>
          <w:rFonts w:cs="Arial"/>
        </w:rPr>
        <w:t xml:space="preserve"> – narzędzie używane do oceny realizacji zasady równości kobiet i mężczyzn w ramach projektów współfinansowanych z EFS+</w:t>
      </w:r>
      <w:r w:rsidR="00260C82">
        <w:rPr>
          <w:rFonts w:cs="Arial"/>
        </w:rPr>
        <w:t>. Stanowi</w:t>
      </w:r>
      <w:r w:rsidRPr="0057187F">
        <w:rPr>
          <w:rFonts w:cs="Arial"/>
        </w:rPr>
        <w:t xml:space="preserve">  załącznik nr 1 do wytycznych. Narzędzie to obejmuje pięć zagadnień i pomaga ocenić, czy wnioskodawca uwzględnił kwestie równościowe w ramach analizy potrzeb w projekcie, zaplanowanych działań, wskaźników lub w ramach działań prowadzonych na rzecz zespołu projektowego;</w:t>
      </w:r>
    </w:p>
    <w:p w14:paraId="1B264B5C" w14:textId="39A26607" w:rsidR="00C86B2C" w:rsidRPr="0057187F" w:rsidRDefault="00C86B2C" w:rsidP="0057187F">
      <w:pPr>
        <w:spacing w:before="120" w:after="120" w:line="360" w:lineRule="auto"/>
        <w:rPr>
          <w:rFonts w:cs="Arial"/>
        </w:rPr>
      </w:pPr>
      <w:r w:rsidRPr="0057187F">
        <w:rPr>
          <w:rFonts w:cs="Arial"/>
          <w:b/>
          <w:bCs/>
        </w:rPr>
        <w:t>Standardy dostępności dla polityki spójności 2021-2027</w:t>
      </w:r>
      <w:r w:rsidRPr="0057187F">
        <w:rPr>
          <w:rFonts w:cs="Arial"/>
        </w:rPr>
        <w:t xml:space="preserve"> – zestaw jakościowych, funkcjonalnych i technicznych wymagań, w stosunku do wsparcia finansowanego ze </w:t>
      </w:r>
      <w:r w:rsidRPr="0057187F">
        <w:rPr>
          <w:rFonts w:cs="Arial"/>
        </w:rPr>
        <w:lastRenderedPageBreak/>
        <w:t xml:space="preserve">środków funduszy unijnych, w celu zapewnienia w szczególności osobom z niepełnosprawnościami i </w:t>
      </w:r>
      <w:r w:rsidR="001D4463">
        <w:rPr>
          <w:rFonts w:cs="Arial"/>
        </w:rPr>
        <w:t xml:space="preserve">osobom </w:t>
      </w:r>
      <w:r w:rsidRPr="0057187F">
        <w:rPr>
          <w:rFonts w:cs="Arial"/>
        </w:rPr>
        <w:t>starszym</w:t>
      </w:r>
      <w:r w:rsidR="00260C82">
        <w:rPr>
          <w:rFonts w:cs="Arial"/>
        </w:rPr>
        <w:t>,</w:t>
      </w:r>
      <w:r w:rsidRPr="0057187F">
        <w:rPr>
          <w:rFonts w:cs="Arial"/>
        </w:rPr>
        <w:t xml:space="preserve"> możliwości skorzystania zarówno z udziału w projektach, jak i z efektów ich realizacji. Dla polityki spójności na lata 2021-2027 opracowano pięć standardów: szkoleniowy, informacyjno-promocyjny, cyfrowy, architektoniczny oraz transportowy. Standardy te stanowią załącznik nr 2 do wytycznych;</w:t>
      </w:r>
    </w:p>
    <w:p w14:paraId="70BCB4A9" w14:textId="53B96B13" w:rsidR="00C86B2C" w:rsidRDefault="00C86B2C" w:rsidP="0057187F">
      <w:pPr>
        <w:spacing w:before="120" w:after="120" w:line="360" w:lineRule="auto"/>
        <w:rPr>
          <w:rFonts w:cs="Arial"/>
        </w:rPr>
      </w:pPr>
      <w:r w:rsidRPr="0057187F">
        <w:rPr>
          <w:rFonts w:cs="Arial"/>
          <w:b/>
          <w:bCs/>
        </w:rPr>
        <w:t>Tekst alternatywny</w:t>
      </w:r>
      <w:r w:rsidRPr="0057187F">
        <w:rPr>
          <w:rFonts w:cs="Arial"/>
        </w:rPr>
        <w:t xml:space="preserve"> – dodatkowy opis, dzięki któremu wszelkie elementy nietekstowe, umieszczone na stronie internetowej</w:t>
      </w:r>
      <w:r w:rsidR="00FD567C">
        <w:rPr>
          <w:rFonts w:cs="Arial"/>
        </w:rPr>
        <w:t>, w</w:t>
      </w:r>
      <w:r w:rsidR="00FD567C" w:rsidRPr="00FD567C">
        <w:t xml:space="preserve"> </w:t>
      </w:r>
      <w:r w:rsidR="00FD567C" w:rsidRPr="00FD567C">
        <w:rPr>
          <w:rFonts w:cs="Arial"/>
        </w:rPr>
        <w:t>aplikacji mobilnej</w:t>
      </w:r>
      <w:r w:rsidRPr="0057187F">
        <w:rPr>
          <w:rFonts w:cs="Arial"/>
        </w:rPr>
        <w:t xml:space="preserve"> oraz w plikach np. </w:t>
      </w:r>
      <w:proofErr w:type="spellStart"/>
      <w:r w:rsidRPr="0057187F">
        <w:rPr>
          <w:rFonts w:cs="Arial"/>
        </w:rPr>
        <w:t>docx</w:t>
      </w:r>
      <w:proofErr w:type="spellEnd"/>
      <w:r w:rsidRPr="0057187F">
        <w:rPr>
          <w:rFonts w:cs="Arial"/>
        </w:rPr>
        <w:t>, pdf, będą mogły być przetworzone przez oprogramowanie użytkownika</w:t>
      </w:r>
      <w:r w:rsidR="00260C82">
        <w:rPr>
          <w:rFonts w:cs="Arial"/>
        </w:rPr>
        <w:t>/użytkowniczki</w:t>
      </w:r>
      <w:r w:rsidRPr="0057187F">
        <w:rPr>
          <w:rFonts w:cs="Arial"/>
        </w:rPr>
        <w:t xml:space="preserve"> i dostarczą informacji, jakie treści te ze sobą niosą (dotyczy to między innymi zdjęć, obrazków ozdobnych, ikon, wykresów, animacji, itp.). Opis alternatywny pokazuje się również w przypadku, gdy w przeglądarce internetowej zostanie wyłączone pokazywanie grafik i zdjęć;</w:t>
      </w:r>
    </w:p>
    <w:p w14:paraId="57EC31F2" w14:textId="5602FF64" w:rsidR="001C6910" w:rsidRPr="0057187F" w:rsidRDefault="001C6910" w:rsidP="0057187F">
      <w:pPr>
        <w:spacing w:before="120" w:after="120" w:line="360" w:lineRule="auto"/>
        <w:rPr>
          <w:rFonts w:cs="Arial"/>
        </w:rPr>
      </w:pPr>
      <w:r>
        <w:rPr>
          <w:rFonts w:cs="Arial"/>
          <w:b/>
          <w:bCs/>
        </w:rPr>
        <w:t>Tekst</w:t>
      </w:r>
      <w:r w:rsidRPr="0057187F">
        <w:rPr>
          <w:rFonts w:cs="Arial"/>
          <w:b/>
          <w:bCs/>
        </w:rPr>
        <w:t xml:space="preserve"> łatwy do czytania (ang. </w:t>
      </w:r>
      <w:proofErr w:type="spellStart"/>
      <w:r w:rsidRPr="0057187F">
        <w:rPr>
          <w:rFonts w:cs="Arial"/>
          <w:b/>
          <w:bCs/>
        </w:rPr>
        <w:t>easy</w:t>
      </w:r>
      <w:proofErr w:type="spellEnd"/>
      <w:r w:rsidRPr="0057187F">
        <w:rPr>
          <w:rFonts w:cs="Arial"/>
          <w:b/>
          <w:bCs/>
        </w:rPr>
        <w:t>-to-</w:t>
      </w:r>
      <w:proofErr w:type="spellStart"/>
      <w:r w:rsidRPr="0057187F">
        <w:rPr>
          <w:rFonts w:cs="Arial"/>
          <w:b/>
          <w:bCs/>
        </w:rPr>
        <w:t>read</w:t>
      </w:r>
      <w:proofErr w:type="spellEnd"/>
      <w:r w:rsidRPr="0057187F">
        <w:rPr>
          <w:rFonts w:cs="Arial"/>
          <w:b/>
          <w:bCs/>
        </w:rPr>
        <w:t>)</w:t>
      </w:r>
      <w:r w:rsidRPr="0057187F">
        <w:rPr>
          <w:rFonts w:cs="Arial"/>
        </w:rPr>
        <w:t xml:space="preserve"> – prezentowanie informacji w sposób łatwy do zrozumienia dla osób z trudnościami poznawczymi (na przykład z niepełnosprawnościami intelektualnymi, chorobami lub urazami neurologicznymi</w:t>
      </w:r>
      <w:r>
        <w:rPr>
          <w:rFonts w:cs="Arial"/>
        </w:rPr>
        <w:t>)</w:t>
      </w:r>
      <w:r w:rsidRPr="0057187F">
        <w:rPr>
          <w:rFonts w:cs="Arial"/>
        </w:rPr>
        <w:t xml:space="preserve"> </w:t>
      </w:r>
      <w:r>
        <w:rPr>
          <w:rFonts w:cs="Arial"/>
        </w:rPr>
        <w:t xml:space="preserve">czy </w:t>
      </w:r>
      <w:r w:rsidRPr="0057187F">
        <w:rPr>
          <w:rFonts w:cs="Arial"/>
        </w:rPr>
        <w:t>cudzoziemców. Zawiera proste sformułowania, ale także przykłady, obrazki, infografiki;</w:t>
      </w:r>
    </w:p>
    <w:p w14:paraId="126BA265" w14:textId="4AD70031" w:rsidR="00C86B2C" w:rsidRPr="0057187F" w:rsidRDefault="00C86B2C" w:rsidP="0057187F">
      <w:pPr>
        <w:spacing w:before="120" w:after="120" w:line="360" w:lineRule="auto"/>
        <w:rPr>
          <w:rFonts w:cs="Arial"/>
        </w:rPr>
      </w:pPr>
      <w:r w:rsidRPr="0057187F">
        <w:rPr>
          <w:rFonts w:cs="Arial"/>
          <w:b/>
          <w:bCs/>
        </w:rPr>
        <w:t>Transkrypcja</w:t>
      </w:r>
      <w:r w:rsidRPr="0057187F">
        <w:rPr>
          <w:rFonts w:cs="Arial"/>
        </w:rPr>
        <w:t xml:space="preserve"> – tekstowy opis treści materiałów </w:t>
      </w:r>
      <w:r w:rsidR="00D927EC" w:rsidRPr="00D927EC">
        <w:rPr>
          <w:rFonts w:cs="Arial"/>
        </w:rPr>
        <w:t>audio oraz audio-video</w:t>
      </w:r>
      <w:r w:rsidRPr="0057187F">
        <w:rPr>
          <w:rFonts w:cs="Arial"/>
        </w:rPr>
        <w:t>;</w:t>
      </w:r>
    </w:p>
    <w:p w14:paraId="634399F1" w14:textId="352F298C" w:rsidR="00C86B2C" w:rsidRPr="0057187F" w:rsidRDefault="00C86B2C" w:rsidP="0057187F">
      <w:pPr>
        <w:spacing w:before="120" w:after="120" w:line="360" w:lineRule="auto"/>
        <w:rPr>
          <w:rFonts w:cs="Arial"/>
        </w:rPr>
      </w:pPr>
      <w:r w:rsidRPr="0057187F">
        <w:rPr>
          <w:rFonts w:cs="Arial"/>
          <w:b/>
          <w:bCs/>
        </w:rPr>
        <w:t>Uniwersalne projektowanie</w:t>
      </w:r>
      <w:r w:rsidRPr="0057187F">
        <w:rPr>
          <w:rFonts w:cs="Arial"/>
        </w:rPr>
        <w:t xml:space="preserve"> – projektowanie produktów, środowiska, programów</w:t>
      </w:r>
      <w:r w:rsidR="001060AF">
        <w:rPr>
          <w:rFonts w:cs="Arial"/>
        </w:rPr>
        <w:t xml:space="preserve"> </w:t>
      </w:r>
      <w:r w:rsidRPr="0057187F">
        <w:rPr>
          <w:rFonts w:cs="Arial"/>
        </w:rPr>
        <w:t>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3375B035" w14:textId="37CE6446" w:rsidR="00C86B2C" w:rsidRPr="0057187F" w:rsidRDefault="00C86B2C" w:rsidP="0057187F">
      <w:pPr>
        <w:spacing w:before="120" w:after="120" w:line="360" w:lineRule="auto"/>
        <w:rPr>
          <w:rFonts w:cs="Arial"/>
        </w:rPr>
      </w:pPr>
      <w:r w:rsidRPr="0057187F">
        <w:rPr>
          <w:rFonts w:cs="Arial"/>
          <w:b/>
          <w:bCs/>
        </w:rPr>
        <w:t xml:space="preserve">Ustawa </w:t>
      </w:r>
      <w:r w:rsidRPr="0057187F">
        <w:rPr>
          <w:rFonts w:cs="Arial"/>
        </w:rPr>
        <w:t>– ustawa z dnia 28 kwietnia 2022 r. o zasadach realizacji zadań finansowanych ze środków europejskich w perspektywie finansowej 2021–2027</w:t>
      </w:r>
      <w:r w:rsidR="00592CED" w:rsidRPr="00592CED">
        <w:t xml:space="preserve"> </w:t>
      </w:r>
      <w:r w:rsidRPr="0057187F">
        <w:rPr>
          <w:rFonts w:cs="Arial"/>
        </w:rPr>
        <w:t>;</w:t>
      </w:r>
    </w:p>
    <w:p w14:paraId="7DB8A6C2" w14:textId="77777777" w:rsidR="004E3E56" w:rsidRDefault="00C86B2C" w:rsidP="0057187F">
      <w:pPr>
        <w:spacing w:before="120" w:after="120" w:line="360" w:lineRule="auto"/>
        <w:rPr>
          <w:rFonts w:cs="Arial"/>
        </w:rPr>
      </w:pPr>
      <w:bookmarkStart w:id="12" w:name="_Hlk113000680"/>
      <w:r w:rsidRPr="0057187F">
        <w:rPr>
          <w:rFonts w:cs="Arial"/>
          <w:b/>
          <w:bCs/>
        </w:rPr>
        <w:t xml:space="preserve">Web Content Accessibility </w:t>
      </w:r>
      <w:proofErr w:type="spellStart"/>
      <w:r w:rsidRPr="0057187F">
        <w:rPr>
          <w:rFonts w:cs="Arial"/>
          <w:b/>
          <w:bCs/>
        </w:rPr>
        <w:t>Guidelines</w:t>
      </w:r>
      <w:proofErr w:type="spellEnd"/>
      <w:r w:rsidRPr="0057187F">
        <w:rPr>
          <w:rFonts w:cs="Arial"/>
          <w:b/>
          <w:bCs/>
        </w:rPr>
        <w:t xml:space="preserve"> </w:t>
      </w:r>
      <w:bookmarkEnd w:id="12"/>
      <w:r w:rsidRPr="0057187F">
        <w:rPr>
          <w:rFonts w:cs="Arial"/>
          <w:b/>
          <w:bCs/>
        </w:rPr>
        <w:t>(WCAG)</w:t>
      </w:r>
      <w:r w:rsidRPr="0057187F">
        <w:rPr>
          <w:rFonts w:cs="Arial"/>
        </w:rPr>
        <w:t xml:space="preserve"> – zbiór rekomendacji zapewniających dostępność cyfrową treści stron internetowych i aplikacji mobilnych </w:t>
      </w:r>
      <w:r w:rsidRPr="0057187F">
        <w:rPr>
          <w:rFonts w:cs="Arial"/>
        </w:rPr>
        <w:lastRenderedPageBreak/>
        <w:t>możliwie szerokiej grupie użytkowników, włączając w to osoby z</w:t>
      </w:r>
      <w:r w:rsidR="00260C82">
        <w:rPr>
          <w:rFonts w:cs="Arial"/>
        </w:rPr>
        <w:t xml:space="preserve"> </w:t>
      </w:r>
      <w:r w:rsidRPr="0057187F">
        <w:rPr>
          <w:rFonts w:cs="Arial"/>
        </w:rPr>
        <w:t>niepełnosprawnościami;</w:t>
      </w:r>
    </w:p>
    <w:p w14:paraId="1FDB5321" w14:textId="45E1AD0D" w:rsidR="00C86B2C" w:rsidRPr="0057187F" w:rsidRDefault="00C86B2C" w:rsidP="0057187F">
      <w:pPr>
        <w:spacing w:before="120" w:after="120" w:line="360" w:lineRule="auto"/>
        <w:rPr>
          <w:rFonts w:cs="Arial"/>
        </w:rPr>
      </w:pPr>
      <w:r w:rsidRPr="0057187F">
        <w:rPr>
          <w:rFonts w:cs="Arial"/>
          <w:b/>
          <w:bCs/>
        </w:rPr>
        <w:t>Wytyczne</w:t>
      </w:r>
      <w:r w:rsidRPr="0057187F">
        <w:rPr>
          <w:rFonts w:cs="Arial"/>
        </w:rPr>
        <w:t xml:space="preserve"> – wytyczne dotyczące realizacji zasad równościowych w ramach funduszy unijnych na lata 2021-2027;</w:t>
      </w:r>
    </w:p>
    <w:p w14:paraId="3C10DA7A" w14:textId="47F8A4F6" w:rsidR="00C86B2C" w:rsidRPr="0057187F" w:rsidRDefault="00C86B2C" w:rsidP="0057187F">
      <w:pPr>
        <w:spacing w:before="120" w:after="120" w:line="360" w:lineRule="auto"/>
        <w:rPr>
          <w:rFonts w:cs="Arial"/>
        </w:rPr>
      </w:pPr>
      <w:r w:rsidRPr="0057187F">
        <w:rPr>
          <w:rFonts w:cs="Arial"/>
          <w:b/>
          <w:bCs/>
        </w:rPr>
        <w:t>Zasada równości kobiet i mężczyzn</w:t>
      </w:r>
      <w:r w:rsidRPr="0057187F">
        <w:rPr>
          <w:rFonts w:cs="Arial"/>
        </w:rPr>
        <w:t xml:space="preserve"> – 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t>
      </w:r>
      <w:r w:rsidR="00590863">
        <w:rPr>
          <w:rFonts w:cs="Arial"/>
        </w:rPr>
        <w:br/>
      </w:r>
      <w:r w:rsidRPr="0057187F">
        <w:rPr>
          <w:rFonts w:cs="Arial"/>
        </w:rPr>
        <w:t>w ramach programów</w:t>
      </w:r>
      <w:r w:rsidR="0013078B" w:rsidRPr="0013078B">
        <w:rPr>
          <w:rFonts w:cs="Arial"/>
        </w:rPr>
        <w:t xml:space="preserve"> (tj. podczas przygotowywania, wdrażania, monitorowania, sprawozdawczości, ewaluacji, promocji i kontroli programów</w:t>
      </w:r>
      <w:r w:rsidR="00260C82">
        <w:rPr>
          <w:rFonts w:cs="Arial"/>
        </w:rPr>
        <w:t>);</w:t>
      </w:r>
    </w:p>
    <w:p w14:paraId="43A29F03" w14:textId="3C3A51E0" w:rsidR="001D6AF8" w:rsidRDefault="00C86B2C" w:rsidP="0057187F">
      <w:pPr>
        <w:spacing w:before="120" w:after="120" w:line="360" w:lineRule="auto"/>
        <w:rPr>
          <w:rFonts w:cs="Arial"/>
        </w:rPr>
      </w:pPr>
      <w:r w:rsidRPr="0057187F">
        <w:rPr>
          <w:rFonts w:cs="Arial"/>
          <w:b/>
          <w:bCs/>
        </w:rPr>
        <w:t>Zasada równości szans i niedyskryminacji</w:t>
      </w:r>
      <w:r w:rsidRPr="0057187F">
        <w:rPr>
          <w:rFonts w:cs="Arial"/>
        </w:rPr>
        <w:t xml:space="preserve"> – </w:t>
      </w:r>
      <w:r w:rsidR="00B935C0">
        <w:rPr>
          <w:rFonts w:cs="Arial"/>
        </w:rPr>
        <w:t>wdrożenie działań</w:t>
      </w:r>
      <w:r w:rsidRPr="0057187F">
        <w:rPr>
          <w:rFonts w:cs="Arial"/>
        </w:rPr>
        <w:t xml:space="preserve"> umożliwiając</w:t>
      </w:r>
      <w:r w:rsidR="00B935C0">
        <w:rPr>
          <w:rFonts w:cs="Arial"/>
        </w:rPr>
        <w:t>ych</w:t>
      </w:r>
      <w:r w:rsidRPr="0057187F">
        <w:rPr>
          <w:rFonts w:cs="Arial"/>
        </w:rPr>
        <w:t xml:space="preserve">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r w:rsidR="00260C82">
        <w:rPr>
          <w:rFonts w:cs="Arial"/>
        </w:rPr>
        <w:t>;</w:t>
      </w:r>
    </w:p>
    <w:p w14:paraId="759F668E" w14:textId="7285A3E4" w:rsidR="00260C82" w:rsidRDefault="00D02CD3" w:rsidP="0057187F">
      <w:pPr>
        <w:spacing w:before="120" w:after="120" w:line="360" w:lineRule="auto"/>
        <w:rPr>
          <w:rFonts w:cs="Arial"/>
        </w:rPr>
      </w:pPr>
      <w:r w:rsidRPr="00DA067E">
        <w:rPr>
          <w:rFonts w:cs="Arial"/>
          <w:b/>
          <w:bCs/>
        </w:rPr>
        <w:t>Zasady równościowe</w:t>
      </w:r>
      <w:r w:rsidR="00C2198C">
        <w:rPr>
          <w:rFonts w:cs="Arial"/>
          <w:b/>
          <w:bCs/>
        </w:rPr>
        <w:t xml:space="preserve"> (horyzontalne)</w:t>
      </w:r>
      <w:r>
        <w:rPr>
          <w:rFonts w:cs="Arial"/>
        </w:rPr>
        <w:t xml:space="preserve"> – rozumiane </w:t>
      </w:r>
      <w:r w:rsidR="00C2198C">
        <w:rPr>
          <w:rFonts w:cs="Arial"/>
        </w:rPr>
        <w:t xml:space="preserve">łącznie </w:t>
      </w:r>
      <w:r>
        <w:rPr>
          <w:rFonts w:cs="Arial"/>
        </w:rPr>
        <w:t>jako zasada</w:t>
      </w:r>
      <w:r w:rsidR="00260C82">
        <w:rPr>
          <w:rFonts w:cs="Arial"/>
        </w:rPr>
        <w:t xml:space="preserve"> równości</w:t>
      </w:r>
      <w:r>
        <w:rPr>
          <w:rFonts w:cs="Arial"/>
        </w:rPr>
        <w:t xml:space="preserve"> kobiet i mężczyzn oraz zasada równości szans i niedyskryminacji</w:t>
      </w:r>
      <w:r w:rsidR="00260C82">
        <w:rPr>
          <w:rFonts w:cs="Arial"/>
        </w:rPr>
        <w:t>.</w:t>
      </w:r>
    </w:p>
    <w:p w14:paraId="0BED55BF" w14:textId="77777777" w:rsidR="00260C82" w:rsidRDefault="00260C82">
      <w:pPr>
        <w:rPr>
          <w:rFonts w:cs="Arial"/>
        </w:rPr>
      </w:pPr>
      <w:r>
        <w:rPr>
          <w:rFonts w:cs="Arial"/>
        </w:rPr>
        <w:br w:type="page"/>
      </w:r>
    </w:p>
    <w:p w14:paraId="6C28C11F" w14:textId="77777777" w:rsidR="00D02CD3" w:rsidRPr="0057187F" w:rsidRDefault="00D02CD3" w:rsidP="0057187F">
      <w:pPr>
        <w:spacing w:before="120" w:after="120" w:line="360" w:lineRule="auto"/>
        <w:rPr>
          <w:rFonts w:cs="Arial"/>
        </w:rPr>
      </w:pPr>
    </w:p>
    <w:p w14:paraId="345903E2" w14:textId="63A98577" w:rsidR="001D6AF8" w:rsidRPr="0057187F" w:rsidRDefault="0068620F" w:rsidP="0057187F">
      <w:pPr>
        <w:pStyle w:val="Nagwek1"/>
        <w:rPr>
          <w:rFonts w:cs="Arial"/>
        </w:rPr>
      </w:pPr>
      <w:bookmarkStart w:id="13" w:name="_Toc98428189"/>
      <w:bookmarkStart w:id="14" w:name="_Toc98761661"/>
      <w:bookmarkStart w:id="15" w:name="_Toc98934365"/>
      <w:bookmarkStart w:id="16" w:name="_Toc108787445"/>
      <w:r w:rsidRPr="0057187F">
        <w:rPr>
          <w:rFonts w:cs="Arial"/>
        </w:rPr>
        <w:t xml:space="preserve">Rozdział 1. </w:t>
      </w:r>
      <w:bookmarkEnd w:id="13"/>
      <w:bookmarkEnd w:id="14"/>
      <w:r w:rsidR="000952A5" w:rsidRPr="0057187F">
        <w:rPr>
          <w:rFonts w:cs="Arial"/>
        </w:rPr>
        <w:t>Cel i zakres</w:t>
      </w:r>
      <w:r w:rsidR="007A78BB" w:rsidRPr="0057187F">
        <w:rPr>
          <w:rFonts w:cs="Arial"/>
        </w:rPr>
        <w:t xml:space="preserve"> wytycznych</w:t>
      </w:r>
      <w:bookmarkEnd w:id="15"/>
      <w:bookmarkEnd w:id="16"/>
    </w:p>
    <w:p w14:paraId="6DDF2FF3" w14:textId="2463C855" w:rsidR="00C86B2C" w:rsidRPr="00DA067E" w:rsidRDefault="00C86B2C" w:rsidP="0057187F">
      <w:pPr>
        <w:numPr>
          <w:ilvl w:val="0"/>
          <w:numId w:val="4"/>
        </w:numPr>
        <w:spacing w:before="120" w:after="120" w:line="360" w:lineRule="auto"/>
        <w:rPr>
          <w:rFonts w:eastAsia="Calibri" w:cs="Arial"/>
          <w:u w:val="single"/>
          <w:lang w:eastAsia="en-US"/>
        </w:rPr>
      </w:pPr>
      <w:bookmarkStart w:id="17" w:name="_Toc98428190"/>
      <w:bookmarkStart w:id="18" w:name="_Toc98761662"/>
      <w:bookmarkStart w:id="19" w:name="_Toc98934366"/>
      <w:r w:rsidRPr="0057187F">
        <w:rPr>
          <w:rFonts w:eastAsia="Calibri" w:cs="Arial"/>
          <w:lang w:eastAsia="en-US"/>
        </w:rPr>
        <w:t xml:space="preserve">Celem wytycznych jest zapewnienie zgodności wdrażania programów z zasadami </w:t>
      </w:r>
      <w:r w:rsidR="00260C82">
        <w:rPr>
          <w:rFonts w:eastAsia="Calibri" w:cs="Arial"/>
          <w:lang w:eastAsia="en-US"/>
        </w:rPr>
        <w:t>równościowymi</w:t>
      </w:r>
      <w:r w:rsidRPr="0057187F">
        <w:rPr>
          <w:rFonts w:eastAsia="Calibri" w:cs="Arial"/>
          <w:lang w:eastAsia="en-US"/>
        </w:rPr>
        <w:t>: zasadą równości szans i niedyskryminacji oraz zasadą równości kobiet i mężczyzn, a także zapewnienie spójnego podejścia w tym zakresie w ramach programów i projektów współfinansowanych ze środków EFS+, EFRR, FS i FST</w:t>
      </w:r>
      <w:r w:rsidR="00B74548">
        <w:rPr>
          <w:rFonts w:eastAsia="Calibri" w:cs="Arial"/>
          <w:lang w:eastAsia="en-US"/>
        </w:rPr>
        <w:t xml:space="preserve"> na lata 2021-2027</w:t>
      </w:r>
      <w:r w:rsidRPr="0057187F">
        <w:rPr>
          <w:rFonts w:eastAsia="Calibri" w:cs="Arial"/>
          <w:lang w:eastAsia="en-US"/>
        </w:rPr>
        <w:t>.</w:t>
      </w:r>
    </w:p>
    <w:p w14:paraId="6247F40D" w14:textId="30933A3D" w:rsidR="00D02CD3" w:rsidRPr="00DA067E" w:rsidRDefault="00C97857" w:rsidP="0057187F">
      <w:pPr>
        <w:numPr>
          <w:ilvl w:val="0"/>
          <w:numId w:val="4"/>
        </w:numPr>
        <w:spacing w:before="120" w:after="120" w:line="360" w:lineRule="auto"/>
        <w:rPr>
          <w:rFonts w:eastAsia="Calibri" w:cs="Arial"/>
          <w:lang w:eastAsia="en-US"/>
        </w:rPr>
      </w:pPr>
      <w:r w:rsidRPr="00DA067E">
        <w:rPr>
          <w:rFonts w:eastAsia="Calibri" w:cs="Arial"/>
          <w:lang w:eastAsia="en-US"/>
        </w:rPr>
        <w:t xml:space="preserve">Przestrzeganie zasad </w:t>
      </w:r>
      <w:r w:rsidR="00260C82">
        <w:rPr>
          <w:rFonts w:eastAsia="Calibri" w:cs="Arial"/>
          <w:lang w:eastAsia="en-US"/>
        </w:rPr>
        <w:t>równościowych</w:t>
      </w:r>
      <w:r w:rsidR="00260C82" w:rsidRPr="00DA067E">
        <w:rPr>
          <w:rFonts w:eastAsia="Calibri" w:cs="Arial"/>
          <w:lang w:eastAsia="en-US"/>
        </w:rPr>
        <w:t xml:space="preserve"> </w:t>
      </w:r>
      <w:r w:rsidRPr="00DA067E">
        <w:rPr>
          <w:rFonts w:eastAsia="Calibri" w:cs="Arial"/>
          <w:lang w:eastAsia="en-US"/>
        </w:rPr>
        <w:t>wynika z art. 2 i 3 Traktatu o Unii Europejskiej.</w:t>
      </w:r>
    </w:p>
    <w:p w14:paraId="263F8247" w14:textId="58461BC2" w:rsidR="00C86B2C" w:rsidRPr="0057187F" w:rsidRDefault="00C86B2C" w:rsidP="0057187F">
      <w:pPr>
        <w:numPr>
          <w:ilvl w:val="0"/>
          <w:numId w:val="4"/>
        </w:numPr>
        <w:spacing w:before="120" w:after="120" w:line="360" w:lineRule="auto"/>
        <w:rPr>
          <w:rFonts w:eastAsia="Calibri" w:cs="Arial"/>
          <w:lang w:eastAsia="en-US"/>
        </w:rPr>
      </w:pPr>
      <w:r w:rsidRPr="0057187F">
        <w:rPr>
          <w:rFonts w:eastAsia="Calibri" w:cs="Arial"/>
          <w:lang w:eastAsia="en-US"/>
        </w:rPr>
        <w:t xml:space="preserve">Zgodnie z art. 9 rozporządzenia ogólnego, wdrażając programy zapewnia się poszanowanie praw podstawowych oraz przestrzeganie KPP. Wytyczne mają więc na celu zapobieganie wszelkiej dyskryminacji ze względu na różne przesłanki, w tym: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r w:rsidR="0013078B" w:rsidRPr="0013078B">
        <w:rPr>
          <w:rFonts w:eastAsia="Calibri" w:cs="Arial"/>
          <w:lang w:eastAsia="en-US"/>
        </w:rPr>
        <w:t xml:space="preserve">na każdym etapie i w każdym procesie </w:t>
      </w:r>
      <w:r w:rsidR="00260C82">
        <w:rPr>
          <w:rFonts w:eastAsia="Calibri" w:cs="Arial"/>
          <w:lang w:eastAsia="en-US"/>
        </w:rPr>
        <w:t>realizacji programów</w:t>
      </w:r>
      <w:r w:rsidR="00260C82" w:rsidRPr="0013078B">
        <w:rPr>
          <w:rFonts w:eastAsia="Calibri" w:cs="Arial"/>
          <w:lang w:eastAsia="en-US"/>
        </w:rPr>
        <w:t xml:space="preserve"> </w:t>
      </w:r>
      <w:r w:rsidR="008D5D4B" w:rsidRPr="008D5D4B">
        <w:rPr>
          <w:rFonts w:eastAsia="Calibri" w:cs="Arial"/>
          <w:lang w:eastAsia="en-US"/>
        </w:rPr>
        <w:t>tj. podczas przygotowywania, wdrażania, monitorowania, sprawozdawczości, ewaluacji, promocji i kontroli programów</w:t>
      </w:r>
      <w:r w:rsidR="0013078B">
        <w:rPr>
          <w:rFonts w:eastAsia="Calibri" w:cs="Arial"/>
          <w:lang w:eastAsia="en-US"/>
        </w:rPr>
        <w:t>.</w:t>
      </w:r>
    </w:p>
    <w:p w14:paraId="6D75A127" w14:textId="4BA98CCA" w:rsidR="00C86B2C" w:rsidRPr="0057187F" w:rsidRDefault="00482C21" w:rsidP="0057187F">
      <w:pPr>
        <w:numPr>
          <w:ilvl w:val="0"/>
          <w:numId w:val="4"/>
        </w:numPr>
        <w:spacing w:before="120" w:after="120" w:line="360" w:lineRule="auto"/>
        <w:rPr>
          <w:rFonts w:eastAsia="Calibri" w:cs="Arial"/>
          <w:lang w:eastAsia="en-US"/>
        </w:rPr>
      </w:pPr>
      <w:r>
        <w:rPr>
          <w:rFonts w:eastAsia="Calibri" w:cs="Arial"/>
          <w:lang w:eastAsia="en-US"/>
        </w:rPr>
        <w:t>W</w:t>
      </w:r>
      <w:r w:rsidRPr="0057187F">
        <w:rPr>
          <w:rFonts w:eastAsia="Calibri" w:cs="Arial"/>
          <w:lang w:eastAsia="en-US"/>
        </w:rPr>
        <w:t>ytyczne i standardy dostępności dla polityki spójności 2021–2027 kładą największy nacisk na zapewnienie, by wszelkie działania finansowane z programów mogły służyć, czy umożliwiać swobodne z nich korzystanie także osobom z niepełnosprawnościami.</w:t>
      </w:r>
      <w:r>
        <w:rPr>
          <w:rFonts w:eastAsia="Calibri" w:cs="Arial"/>
          <w:lang w:eastAsia="en-US"/>
        </w:rPr>
        <w:t xml:space="preserve"> Jest to spowodowane szczególnie</w:t>
      </w:r>
      <w:r w:rsidR="00C86B2C" w:rsidRPr="0057187F">
        <w:rPr>
          <w:rFonts w:eastAsia="Calibri" w:cs="Arial"/>
          <w:lang w:eastAsia="en-US"/>
        </w:rPr>
        <w:t xml:space="preserve"> trudną sytuację osób z niepełnosprawnościami w dostępie do produktów, usług </w:t>
      </w:r>
      <w:r w:rsidR="00590863">
        <w:rPr>
          <w:rFonts w:eastAsia="Calibri" w:cs="Arial"/>
          <w:lang w:eastAsia="en-US"/>
        </w:rPr>
        <w:br/>
      </w:r>
      <w:r w:rsidR="00C86B2C" w:rsidRPr="0057187F">
        <w:rPr>
          <w:rFonts w:eastAsia="Calibri" w:cs="Arial"/>
          <w:lang w:eastAsia="en-US"/>
        </w:rPr>
        <w:t xml:space="preserve">i udziału w życiu społeczno-gospodarczym, a także podkreślaną (m.in. w rozporządzeniu ogólnym czy Strategii na rzecz Osób z </w:t>
      </w:r>
      <w:r w:rsidR="00C86B2C" w:rsidRPr="0057187F">
        <w:rPr>
          <w:rFonts w:eastAsia="Calibri" w:cs="Arial"/>
          <w:lang w:eastAsia="en-US"/>
        </w:rPr>
        <w:lastRenderedPageBreak/>
        <w:t>Niepełnosprawnościami</w:t>
      </w:r>
      <w:r w:rsidR="00C86B2C" w:rsidRPr="0057187F">
        <w:rPr>
          <w:rFonts w:eastAsia="Calibri" w:cs="Arial"/>
          <w:vertAlign w:val="superscript"/>
          <w:lang w:eastAsia="en-US"/>
        </w:rPr>
        <w:footnoteReference w:id="3"/>
      </w:r>
      <w:r w:rsidR="00C86B2C" w:rsidRPr="0057187F">
        <w:rPr>
          <w:rFonts w:eastAsia="Calibri" w:cs="Arial"/>
          <w:lang w:eastAsia="en-US"/>
        </w:rPr>
        <w:t>) istotną rolę dostępności w poprawie tego dostępu</w:t>
      </w:r>
      <w:r>
        <w:rPr>
          <w:rFonts w:eastAsia="Calibri" w:cs="Arial"/>
          <w:lang w:eastAsia="en-US"/>
        </w:rPr>
        <w:t>.</w:t>
      </w:r>
      <w:r w:rsidR="00C86B2C" w:rsidRPr="0057187F">
        <w:rPr>
          <w:rFonts w:eastAsia="Calibri" w:cs="Arial"/>
          <w:lang w:eastAsia="en-US"/>
        </w:rPr>
        <w:t xml:space="preserve"> Należy przy tym podkreślić, że zgodnie z ideą projektowania uniwersalnego, infrastruktura, produkty i usługi zaprojektowane i zrealizowane z uwzględnieniem potrzeb osób z niepełnosprawnościami, służą wszystkim użytkownikom i likwidują lub ograniczają różne bariery, również takie na które napotykają osoby bez niepełnosprawności (np. cudzoziemcy, osoby starsze, kobiety w ciąży itp.). Dlatego wszędzie gdzie w wytycznych jest mowa o działaniach podejmowanych z myślą o osobach z niepełnosprawnościami, wypracowane rozwiązania będą służyć także osobom, które znajdują się </w:t>
      </w:r>
      <w:r w:rsidR="00590863">
        <w:rPr>
          <w:rFonts w:eastAsia="Calibri" w:cs="Arial"/>
          <w:lang w:eastAsia="en-US"/>
        </w:rPr>
        <w:br/>
      </w:r>
      <w:r w:rsidR="00C86B2C" w:rsidRPr="0057187F">
        <w:rPr>
          <w:rFonts w:eastAsia="Calibri" w:cs="Arial"/>
          <w:lang w:eastAsia="en-US"/>
        </w:rPr>
        <w:t>w trudniejszej sytuacji ze względu na inne przesłanki wymienione w rozporządzeniu</w:t>
      </w:r>
      <w:r w:rsidR="00297AF9">
        <w:rPr>
          <w:rFonts w:eastAsia="Calibri" w:cs="Arial"/>
          <w:lang w:eastAsia="en-US"/>
        </w:rPr>
        <w:t xml:space="preserve"> i KPP</w:t>
      </w:r>
      <w:r w:rsidR="00C86B2C" w:rsidRPr="0057187F">
        <w:rPr>
          <w:rFonts w:eastAsia="Calibri" w:cs="Arial"/>
          <w:lang w:eastAsia="en-US"/>
        </w:rPr>
        <w:t>. Niemniej jednak, każda IZ powinna podejmować</w:t>
      </w:r>
      <w:r w:rsidR="00C86B2C" w:rsidRPr="0057187F">
        <w:rPr>
          <w:rFonts w:cs="Arial"/>
        </w:rPr>
        <w:t xml:space="preserve"> </w:t>
      </w:r>
      <w:r w:rsidR="00C86B2C" w:rsidRPr="0057187F">
        <w:rPr>
          <w:rFonts w:eastAsia="Calibri" w:cs="Arial"/>
          <w:lang w:eastAsia="en-US"/>
        </w:rPr>
        <w:t>także działania zapobiegające jakiejkolwiek dyskryminacji wobec osób narażonych na dyskryminację</w:t>
      </w:r>
      <w:r w:rsidR="00AD7E58">
        <w:rPr>
          <w:rFonts w:eastAsia="Calibri" w:cs="Arial"/>
          <w:lang w:eastAsia="en-US"/>
        </w:rPr>
        <w:t xml:space="preserve"> -</w:t>
      </w:r>
      <w:r w:rsidR="00C86B2C" w:rsidRPr="0057187F">
        <w:rPr>
          <w:rFonts w:eastAsia="Calibri" w:cs="Arial"/>
          <w:lang w:eastAsia="en-US"/>
        </w:rPr>
        <w:t xml:space="preserve"> także ze względu na przesłanki inne niż niepełnosprawność.</w:t>
      </w:r>
    </w:p>
    <w:p w14:paraId="54B43A52" w14:textId="428AFBAC" w:rsidR="00C86B2C" w:rsidRPr="00B74548" w:rsidRDefault="00C86B2C" w:rsidP="00B74548">
      <w:pPr>
        <w:numPr>
          <w:ilvl w:val="0"/>
          <w:numId w:val="4"/>
        </w:numPr>
        <w:spacing w:before="120" w:after="120" w:line="360" w:lineRule="auto"/>
        <w:rPr>
          <w:rFonts w:eastAsia="Calibri" w:cs="Arial"/>
          <w:lang w:eastAsia="en-US"/>
        </w:rPr>
      </w:pPr>
      <w:r w:rsidRPr="0057187F">
        <w:rPr>
          <w:rFonts w:eastAsia="Calibri" w:cs="Arial"/>
          <w:lang w:eastAsia="en-US"/>
        </w:rPr>
        <w:t>Wytyczne są skierowane do wszystkich instytucji uczestniczących we wdrażaniu programów współfinansowanych z EFS+, EFRR, FS i FST</w:t>
      </w:r>
      <w:r w:rsidRPr="0057187F">
        <w:rPr>
          <w:rFonts w:eastAsia="Calibri" w:cs="Arial"/>
          <w:vertAlign w:val="superscript"/>
          <w:lang w:eastAsia="en-US"/>
        </w:rPr>
        <w:footnoteReference w:id="4"/>
      </w:r>
      <w:r w:rsidR="00724E41">
        <w:rPr>
          <w:rFonts w:eastAsia="Calibri" w:cs="Arial"/>
          <w:lang w:eastAsia="en-US"/>
        </w:rPr>
        <w:t>.</w:t>
      </w:r>
      <w:r w:rsidRPr="0057187F">
        <w:rPr>
          <w:rFonts w:cs="Arial"/>
          <w:kern w:val="32"/>
          <w:lang w:eastAsia="en-US"/>
        </w:rPr>
        <w:t xml:space="preserve"> </w:t>
      </w:r>
      <w:r w:rsidR="00590863">
        <w:rPr>
          <w:rFonts w:cs="Arial"/>
          <w:kern w:val="32"/>
          <w:lang w:eastAsia="en-US"/>
        </w:rPr>
        <w:br/>
      </w:r>
      <w:r w:rsidRPr="0057187F">
        <w:rPr>
          <w:rFonts w:cs="Arial"/>
          <w:kern w:val="32"/>
          <w:lang w:eastAsia="en-US"/>
        </w:rPr>
        <w:t xml:space="preserve">IZ </w:t>
      </w:r>
      <w:r w:rsidR="00B31B04">
        <w:rPr>
          <w:rFonts w:cs="Arial"/>
          <w:kern w:val="32"/>
          <w:lang w:eastAsia="en-US"/>
        </w:rPr>
        <w:t>lub inna właściwa instytucja</w:t>
      </w:r>
      <w:r w:rsidRPr="0057187F">
        <w:rPr>
          <w:rFonts w:cs="Arial"/>
          <w:kern w:val="32"/>
          <w:lang w:eastAsia="en-US"/>
        </w:rPr>
        <w:t xml:space="preserve"> </w:t>
      </w:r>
      <w:r w:rsidR="00B31B04">
        <w:rPr>
          <w:rFonts w:cs="Arial"/>
          <w:kern w:val="32"/>
          <w:lang w:eastAsia="en-US"/>
        </w:rPr>
        <w:t>zobowiązuje</w:t>
      </w:r>
      <w:r w:rsidRPr="0057187F">
        <w:rPr>
          <w:rFonts w:cs="Arial"/>
          <w:kern w:val="32"/>
          <w:lang w:eastAsia="en-US"/>
        </w:rPr>
        <w:t xml:space="preserve"> beneficjenta w decyzji albo umowie</w:t>
      </w:r>
      <w:r w:rsidR="00B31B04">
        <w:rPr>
          <w:rFonts w:cs="Arial"/>
          <w:kern w:val="32"/>
          <w:lang w:eastAsia="en-US"/>
        </w:rPr>
        <w:t xml:space="preserve"> o dofinansowanie projektu, </w:t>
      </w:r>
      <w:r w:rsidRPr="0057187F">
        <w:rPr>
          <w:rFonts w:cs="Arial"/>
          <w:kern w:val="32"/>
          <w:lang w:eastAsia="en-US"/>
        </w:rPr>
        <w:t>do stosowania</w:t>
      </w:r>
      <w:r w:rsidR="00B74548">
        <w:rPr>
          <w:rFonts w:cs="Arial"/>
          <w:kern w:val="32"/>
          <w:lang w:eastAsia="en-US"/>
        </w:rPr>
        <w:t xml:space="preserve"> zasad równościowych na wszystkich etapach </w:t>
      </w:r>
      <w:r w:rsidR="00B74548" w:rsidRPr="00AD7E58">
        <w:rPr>
          <w:rFonts w:cs="Arial"/>
          <w:kern w:val="32"/>
          <w:lang w:eastAsia="en-US"/>
        </w:rPr>
        <w:t>wdrażania projektu (w tym w odniesieniu do uczestników projektów</w:t>
      </w:r>
      <w:r w:rsidR="00C07B07" w:rsidRPr="00AD7E58">
        <w:rPr>
          <w:rFonts w:cs="Arial"/>
          <w:kern w:val="32"/>
          <w:lang w:eastAsia="en-US"/>
        </w:rPr>
        <w:t>)</w:t>
      </w:r>
      <w:r w:rsidR="00B74548" w:rsidRPr="00AD7E58">
        <w:rPr>
          <w:rFonts w:eastAsia="Calibri" w:cs="Arial"/>
          <w:lang w:eastAsia="en-US"/>
        </w:rPr>
        <w:t xml:space="preserve"> oraz</w:t>
      </w:r>
      <w:r w:rsidRPr="00AD7E58">
        <w:rPr>
          <w:rFonts w:cs="Arial"/>
          <w:kern w:val="32"/>
          <w:lang w:eastAsia="en-US"/>
        </w:rPr>
        <w:t xml:space="preserve"> </w:t>
      </w:r>
      <w:r w:rsidR="00B31B04" w:rsidRPr="00AD7E58">
        <w:rPr>
          <w:rFonts w:cs="Arial"/>
          <w:kern w:val="32"/>
          <w:lang w:eastAsia="en-US"/>
        </w:rPr>
        <w:t xml:space="preserve">do stosowania aktualnej wersji </w:t>
      </w:r>
      <w:r w:rsidRPr="00AD7E58">
        <w:rPr>
          <w:rFonts w:cs="Arial"/>
          <w:kern w:val="32"/>
          <w:lang w:eastAsia="en-US"/>
        </w:rPr>
        <w:t>wytycznych.</w:t>
      </w:r>
    </w:p>
    <w:p w14:paraId="1BA0FC12" w14:textId="1B6E40A6" w:rsidR="00C86B2C" w:rsidRPr="0057187F" w:rsidRDefault="00C86B2C" w:rsidP="0057187F">
      <w:pPr>
        <w:numPr>
          <w:ilvl w:val="0"/>
          <w:numId w:val="4"/>
        </w:numPr>
        <w:spacing w:before="120" w:after="120" w:line="360" w:lineRule="auto"/>
        <w:rPr>
          <w:rFonts w:cs="Arial"/>
        </w:rPr>
      </w:pPr>
      <w:r w:rsidRPr="0057187F">
        <w:rPr>
          <w:rFonts w:eastAsia="Calibri" w:cs="Arial"/>
          <w:lang w:eastAsia="en-US"/>
        </w:rPr>
        <w:t>Jeżeli beneficjent jest podmiotem publicznym</w:t>
      </w:r>
      <w:r w:rsidRPr="0057187F">
        <w:rPr>
          <w:rFonts w:eastAsia="Calibri" w:cs="Arial"/>
          <w:vertAlign w:val="superscript"/>
          <w:lang w:eastAsia="en-US"/>
        </w:rPr>
        <w:footnoteReference w:id="5"/>
      </w:r>
      <w:r w:rsidRPr="0057187F">
        <w:rPr>
          <w:rFonts w:eastAsia="Calibri" w:cs="Arial"/>
          <w:lang w:eastAsia="en-US"/>
        </w:rPr>
        <w:t xml:space="preserve"> to na</w:t>
      </w:r>
      <w:r w:rsidR="004E79A6">
        <w:rPr>
          <w:rFonts w:eastAsia="Calibri" w:cs="Arial"/>
          <w:lang w:eastAsia="en-US"/>
        </w:rPr>
        <w:t xml:space="preserve"> </w:t>
      </w:r>
      <w:r w:rsidRPr="0057187F">
        <w:rPr>
          <w:rFonts w:eastAsia="Calibri" w:cs="Arial"/>
          <w:lang w:eastAsia="en-US"/>
        </w:rPr>
        <w:t>mocy przepisów powszechnie obowiązującego</w:t>
      </w:r>
      <w:r w:rsidRPr="0057187F">
        <w:rPr>
          <w:rFonts w:cs="Arial"/>
        </w:rPr>
        <w:t xml:space="preserve"> </w:t>
      </w:r>
      <w:r w:rsidRPr="0057187F">
        <w:rPr>
          <w:rFonts w:eastAsia="Calibri" w:cs="Arial"/>
          <w:lang w:eastAsia="en-US"/>
        </w:rPr>
        <w:t xml:space="preserve">prawa, zobligowany jest również do stosowania przepisów </w:t>
      </w:r>
      <w:r w:rsidRPr="0057187F">
        <w:rPr>
          <w:rFonts w:eastAsia="Calibri" w:cs="Arial"/>
          <w:iCs/>
          <w:lang w:eastAsia="en-US"/>
        </w:rPr>
        <w:t xml:space="preserve">ustawy z dnia 4 kwietnia 2019 r. o dostępności cyfrowej stron </w:t>
      </w:r>
      <w:r w:rsidRPr="0057187F">
        <w:rPr>
          <w:rFonts w:eastAsia="Calibri" w:cs="Arial"/>
          <w:iCs/>
          <w:lang w:eastAsia="en-US"/>
        </w:rPr>
        <w:lastRenderedPageBreak/>
        <w:t xml:space="preserve">internetowych i aplikacji mobilnych podmiotów publicznych (Dz. U. poz. 848, </w:t>
      </w:r>
      <w:r w:rsidR="00590863">
        <w:rPr>
          <w:rFonts w:eastAsia="Calibri" w:cs="Arial"/>
          <w:iCs/>
          <w:lang w:eastAsia="en-US"/>
        </w:rPr>
        <w:br/>
      </w:r>
      <w:r w:rsidRPr="0057187F">
        <w:rPr>
          <w:rFonts w:eastAsia="Calibri" w:cs="Arial"/>
          <w:iCs/>
          <w:lang w:eastAsia="en-US"/>
        </w:rPr>
        <w:t xml:space="preserve">z </w:t>
      </w:r>
      <w:proofErr w:type="spellStart"/>
      <w:r w:rsidRPr="0057187F">
        <w:rPr>
          <w:rFonts w:eastAsia="Calibri" w:cs="Arial"/>
          <w:iCs/>
          <w:lang w:eastAsia="en-US"/>
        </w:rPr>
        <w:t>późn</w:t>
      </w:r>
      <w:proofErr w:type="spellEnd"/>
      <w:r w:rsidRPr="0057187F">
        <w:rPr>
          <w:rFonts w:eastAsia="Calibri" w:cs="Arial"/>
          <w:iCs/>
          <w:lang w:eastAsia="en-US"/>
        </w:rPr>
        <w:t>. zm.) oraz ustawy z dnia 19 lipca 2019 r. o zapewnianiu dostępności osobom ze szczególnymi potrzebami</w:t>
      </w:r>
      <w:r w:rsidR="008D5D4B">
        <w:rPr>
          <w:rFonts w:eastAsia="Calibri" w:cs="Arial"/>
          <w:iCs/>
          <w:lang w:eastAsia="en-US"/>
        </w:rPr>
        <w:t xml:space="preserve"> </w:t>
      </w:r>
      <w:r w:rsidR="008D5D4B" w:rsidRPr="008D5D4B">
        <w:rPr>
          <w:rFonts w:eastAsia="Calibri" w:cs="Arial"/>
          <w:iCs/>
          <w:lang w:eastAsia="en-US"/>
        </w:rPr>
        <w:t>(Dz. U. z 202</w:t>
      </w:r>
      <w:r w:rsidR="00B05676">
        <w:rPr>
          <w:rFonts w:eastAsia="Calibri" w:cs="Arial"/>
          <w:iCs/>
          <w:lang w:eastAsia="en-US"/>
        </w:rPr>
        <w:t>2</w:t>
      </w:r>
      <w:r w:rsidR="008D5D4B" w:rsidRPr="008D5D4B">
        <w:rPr>
          <w:rFonts w:eastAsia="Calibri" w:cs="Arial"/>
          <w:iCs/>
          <w:lang w:eastAsia="en-US"/>
        </w:rPr>
        <w:t xml:space="preserve"> r. poz. </w:t>
      </w:r>
      <w:r w:rsidR="00B05676">
        <w:rPr>
          <w:rFonts w:eastAsia="Calibri" w:cs="Arial"/>
          <w:iCs/>
          <w:lang w:eastAsia="en-US"/>
        </w:rPr>
        <w:t>2240</w:t>
      </w:r>
      <w:r w:rsidR="008D5D4B" w:rsidRPr="008D5D4B">
        <w:rPr>
          <w:rFonts w:eastAsia="Calibri" w:cs="Arial"/>
          <w:iCs/>
          <w:lang w:eastAsia="en-US"/>
        </w:rPr>
        <w:t>)</w:t>
      </w:r>
      <w:r w:rsidRPr="0057187F">
        <w:rPr>
          <w:rFonts w:eastAsia="Calibri" w:cs="Arial"/>
          <w:lang w:eastAsia="en-US"/>
        </w:rPr>
        <w:t xml:space="preserve">. </w:t>
      </w:r>
      <w:r w:rsidR="004E79A6" w:rsidRPr="004E79A6">
        <w:rPr>
          <w:rFonts w:eastAsia="Calibri" w:cs="Arial"/>
          <w:lang w:eastAsia="en-US"/>
        </w:rPr>
        <w:t>Do stosowania ustawy z dnia 4 kwietnia 2019 r. o dostępności cyfrowej stron internetowych i aplikacji mobilnych podmiotów publicznych zobligowane są</w:t>
      </w:r>
      <w:r w:rsidR="004E79A6">
        <w:rPr>
          <w:rFonts w:eastAsia="Calibri" w:cs="Arial"/>
          <w:lang w:eastAsia="en-US"/>
        </w:rPr>
        <w:t xml:space="preserve"> także beneficjenci mający status </w:t>
      </w:r>
      <w:r w:rsidR="004E79A6" w:rsidRPr="004E79A6">
        <w:rPr>
          <w:rFonts w:eastAsia="Calibri" w:cs="Arial"/>
          <w:lang w:eastAsia="en-US"/>
        </w:rPr>
        <w:t>organizacj</w:t>
      </w:r>
      <w:r w:rsidR="004E79A6">
        <w:rPr>
          <w:rFonts w:eastAsia="Calibri" w:cs="Arial"/>
          <w:lang w:eastAsia="en-US"/>
        </w:rPr>
        <w:t xml:space="preserve">i </w:t>
      </w:r>
      <w:r w:rsidR="004E79A6" w:rsidRPr="004E79A6">
        <w:rPr>
          <w:rFonts w:eastAsia="Calibri" w:cs="Arial"/>
          <w:lang w:eastAsia="en-US"/>
        </w:rPr>
        <w:t>pozarządowe</w:t>
      </w:r>
      <w:r w:rsidR="004E79A6">
        <w:rPr>
          <w:rFonts w:eastAsia="Calibri" w:cs="Arial"/>
          <w:lang w:eastAsia="en-US"/>
        </w:rPr>
        <w:t>j</w:t>
      </w:r>
      <w:r w:rsidR="004E79A6" w:rsidRPr="004E79A6">
        <w:rPr>
          <w:rFonts w:eastAsia="Calibri" w:cs="Arial"/>
          <w:lang w:eastAsia="en-US"/>
        </w:rPr>
        <w:t>, któr</w:t>
      </w:r>
      <w:r w:rsidR="004E79A6">
        <w:rPr>
          <w:rFonts w:eastAsia="Calibri" w:cs="Arial"/>
          <w:lang w:eastAsia="en-US"/>
        </w:rPr>
        <w:t>a</w:t>
      </w:r>
      <w:r w:rsidR="004E79A6" w:rsidRPr="004E79A6">
        <w:rPr>
          <w:rFonts w:eastAsia="Calibri" w:cs="Arial"/>
          <w:lang w:eastAsia="en-US"/>
        </w:rPr>
        <w:t xml:space="preserve"> posiadają strony internetowe lub aplikacje mobilne oraz prowadz</w:t>
      </w:r>
      <w:r w:rsidR="004E79A6">
        <w:rPr>
          <w:rFonts w:eastAsia="Calibri" w:cs="Arial"/>
          <w:lang w:eastAsia="en-US"/>
        </w:rPr>
        <w:t xml:space="preserve">i </w:t>
      </w:r>
      <w:r w:rsidR="004E79A6" w:rsidRPr="004E79A6">
        <w:rPr>
          <w:rFonts w:eastAsia="Calibri" w:cs="Arial"/>
          <w:lang w:eastAsia="en-US"/>
        </w:rPr>
        <w:t xml:space="preserve">statutową działalność pożytku publicznego na rzecz: ochrony i promocji zdrowia, osób z </w:t>
      </w:r>
      <w:r w:rsidR="004E79A6">
        <w:rPr>
          <w:rFonts w:eastAsia="Calibri" w:cs="Arial"/>
          <w:lang w:eastAsia="en-US"/>
        </w:rPr>
        <w:t>n</w:t>
      </w:r>
      <w:r w:rsidR="004E79A6" w:rsidRPr="004E79A6">
        <w:rPr>
          <w:rFonts w:eastAsia="Calibri" w:cs="Arial"/>
          <w:lang w:eastAsia="en-US"/>
        </w:rPr>
        <w:t xml:space="preserve">iepełnosprawnościami lub osób w wieku emerytalnym. </w:t>
      </w:r>
      <w:r w:rsidRPr="0057187F">
        <w:rPr>
          <w:rFonts w:eastAsia="Calibri" w:cs="Arial"/>
          <w:lang w:eastAsia="en-US"/>
        </w:rPr>
        <w:t xml:space="preserve">Ze względu na </w:t>
      </w:r>
      <w:r w:rsidR="00AD7E58">
        <w:rPr>
          <w:rFonts w:eastAsia="Calibri" w:cs="Arial"/>
          <w:lang w:eastAsia="en-US"/>
        </w:rPr>
        <w:t xml:space="preserve">funkcjonalny </w:t>
      </w:r>
      <w:r w:rsidRPr="0057187F">
        <w:rPr>
          <w:rFonts w:eastAsia="Calibri" w:cs="Arial"/>
          <w:lang w:eastAsia="en-US"/>
        </w:rPr>
        <w:t xml:space="preserve">charakter przepisów </w:t>
      </w:r>
      <w:r w:rsidR="00AD7E58">
        <w:rPr>
          <w:rFonts w:eastAsia="Calibri" w:cs="Arial"/>
          <w:lang w:eastAsia="en-US"/>
        </w:rPr>
        <w:t xml:space="preserve">ww. </w:t>
      </w:r>
      <w:r w:rsidRPr="0057187F">
        <w:rPr>
          <w:rFonts w:eastAsia="Calibri" w:cs="Arial"/>
          <w:lang w:eastAsia="en-US"/>
        </w:rPr>
        <w:t>ustaw, są one stosowane łącznie z wymaganiami określonymi w standardach dostępności dla polityki spójności 2021–2027.</w:t>
      </w:r>
    </w:p>
    <w:p w14:paraId="2C519851" w14:textId="756F4E6D" w:rsidR="001D2311" w:rsidRPr="00DA067E" w:rsidRDefault="00C86B2C" w:rsidP="0057187F">
      <w:pPr>
        <w:numPr>
          <w:ilvl w:val="0"/>
          <w:numId w:val="4"/>
        </w:numPr>
        <w:spacing w:before="120" w:after="120" w:line="360" w:lineRule="auto"/>
        <w:rPr>
          <w:rFonts w:cs="Arial"/>
        </w:rPr>
      </w:pPr>
      <w:r w:rsidRPr="0057187F">
        <w:rPr>
          <w:rFonts w:eastAsia="Calibri" w:cs="Arial"/>
          <w:lang w:eastAsia="en-US"/>
        </w:rPr>
        <w:t>W przypadku wsparcia realizowanego w ramach pomocy technicznej, wybór projektu i jego realizacja jest zgodna z wytycznymi. Wytyczne dotyczące wykorzystania środków pomocy technicznej na lata 2021-2027 mogą zawierać dodatkowe wymagania w tym zakresie.</w:t>
      </w:r>
    </w:p>
    <w:p w14:paraId="4A209B64" w14:textId="3674D9E0" w:rsidR="00A01B09" w:rsidRDefault="001C5090" w:rsidP="0057187F">
      <w:pPr>
        <w:numPr>
          <w:ilvl w:val="0"/>
          <w:numId w:val="4"/>
        </w:numPr>
        <w:spacing w:before="120" w:after="120" w:line="360" w:lineRule="auto"/>
        <w:rPr>
          <w:rFonts w:eastAsia="Calibri" w:cs="Arial"/>
          <w:lang w:eastAsia="en-US"/>
        </w:rPr>
      </w:pPr>
      <w:r>
        <w:rPr>
          <w:rFonts w:eastAsia="Calibri" w:cs="Arial"/>
          <w:lang w:eastAsia="en-US"/>
        </w:rPr>
        <w:t xml:space="preserve">Należy również zwrócić uwagę, że wskazanie </w:t>
      </w:r>
      <w:r w:rsidR="00AD7E58">
        <w:rPr>
          <w:rFonts w:eastAsia="Calibri" w:cs="Arial"/>
          <w:lang w:eastAsia="en-US"/>
        </w:rPr>
        <w:t xml:space="preserve">w treści programów (tabela nr 8 pod każdym celem szczegółowym) </w:t>
      </w:r>
      <w:r>
        <w:rPr>
          <w:rFonts w:eastAsia="Calibri" w:cs="Arial"/>
          <w:lang w:eastAsia="en-US"/>
        </w:rPr>
        <w:t xml:space="preserve">kodu 03 </w:t>
      </w:r>
      <w:r w:rsidR="00AD7E58">
        <w:rPr>
          <w:rFonts w:eastAsia="Calibri" w:cs="Arial"/>
          <w:lang w:eastAsia="en-US"/>
        </w:rPr>
        <w:t xml:space="preserve">wskazującego na neutralność </w:t>
      </w:r>
      <w:r>
        <w:rPr>
          <w:rFonts w:eastAsia="Calibri" w:cs="Arial"/>
          <w:lang w:eastAsia="en-US"/>
        </w:rPr>
        <w:t>w stosunku do</w:t>
      </w:r>
      <w:r w:rsidR="00AD7E58">
        <w:rPr>
          <w:rFonts w:eastAsia="Calibri" w:cs="Arial"/>
          <w:lang w:eastAsia="en-US"/>
        </w:rPr>
        <w:t xml:space="preserve"> zasady</w:t>
      </w:r>
      <w:r>
        <w:rPr>
          <w:rFonts w:eastAsia="Calibri" w:cs="Arial"/>
          <w:lang w:eastAsia="en-US"/>
        </w:rPr>
        <w:t xml:space="preserve"> równości kobiet i mężczyzn</w:t>
      </w:r>
      <w:r w:rsidR="00AD7E58">
        <w:rPr>
          <w:rFonts w:eastAsia="Calibri" w:cs="Arial"/>
          <w:lang w:eastAsia="en-US"/>
        </w:rPr>
        <w:t xml:space="preserve">, </w:t>
      </w:r>
      <w:r>
        <w:rPr>
          <w:rFonts w:eastAsia="Calibri" w:cs="Arial"/>
          <w:lang w:eastAsia="en-US"/>
        </w:rPr>
        <w:t xml:space="preserve">nie zwalnia ze stosowania </w:t>
      </w:r>
      <w:r w:rsidR="00A01B09">
        <w:rPr>
          <w:rFonts w:eastAsia="Calibri" w:cs="Arial"/>
          <w:lang w:eastAsia="en-US"/>
        </w:rPr>
        <w:t xml:space="preserve">ww. </w:t>
      </w:r>
      <w:r>
        <w:rPr>
          <w:rFonts w:eastAsia="Calibri" w:cs="Arial"/>
          <w:lang w:eastAsia="en-US"/>
        </w:rPr>
        <w:t>zasady w oparciu o zapisy Wytycznych.</w:t>
      </w:r>
    </w:p>
    <w:p w14:paraId="400F439A" w14:textId="77777777" w:rsidR="00AD7E58" w:rsidRDefault="00AD7E58">
      <w:pPr>
        <w:rPr>
          <w:rFonts w:eastAsiaTheme="majorEastAsia" w:cs="Arial"/>
          <w:b/>
          <w:bCs/>
          <w:sz w:val="32"/>
          <w:szCs w:val="28"/>
        </w:rPr>
      </w:pPr>
      <w:bookmarkStart w:id="20" w:name="_Toc98428191"/>
      <w:bookmarkStart w:id="21" w:name="_Toc98761663"/>
      <w:bookmarkStart w:id="22" w:name="_Toc98934367"/>
      <w:bookmarkStart w:id="23" w:name="_Toc108787446"/>
      <w:bookmarkEnd w:id="17"/>
      <w:bookmarkEnd w:id="18"/>
      <w:bookmarkEnd w:id="19"/>
      <w:r>
        <w:rPr>
          <w:rFonts w:cs="Arial"/>
        </w:rPr>
        <w:br w:type="page"/>
      </w:r>
    </w:p>
    <w:p w14:paraId="4DC203AB" w14:textId="0EFDF792" w:rsidR="001D6AF8" w:rsidRPr="0057187F" w:rsidRDefault="0068620F" w:rsidP="0057187F">
      <w:pPr>
        <w:pStyle w:val="Nagwek1"/>
        <w:rPr>
          <w:rFonts w:cs="Arial"/>
        </w:rPr>
      </w:pPr>
      <w:r w:rsidRPr="0057187F">
        <w:rPr>
          <w:rFonts w:cs="Arial"/>
        </w:rPr>
        <w:lastRenderedPageBreak/>
        <w:t xml:space="preserve">Rozdział </w:t>
      </w:r>
      <w:r w:rsidR="001D2311" w:rsidRPr="0057187F">
        <w:rPr>
          <w:rFonts w:cs="Arial"/>
        </w:rPr>
        <w:t>2</w:t>
      </w:r>
      <w:r w:rsidRPr="0057187F">
        <w:rPr>
          <w:rFonts w:cs="Arial"/>
        </w:rPr>
        <w:t xml:space="preserve">. </w:t>
      </w:r>
      <w:bookmarkEnd w:id="20"/>
      <w:bookmarkEnd w:id="21"/>
      <w:bookmarkEnd w:id="22"/>
      <w:r w:rsidR="001D2311" w:rsidRPr="0057187F">
        <w:rPr>
          <w:rFonts w:cs="Arial"/>
        </w:rPr>
        <w:t>Akty prawne i dokumenty dotyczące zasad równościowych</w:t>
      </w:r>
      <w:bookmarkEnd w:id="23"/>
    </w:p>
    <w:p w14:paraId="5CF0E448" w14:textId="77777777" w:rsidR="001D2311" w:rsidRPr="0057187F" w:rsidRDefault="001D2311" w:rsidP="0057187F">
      <w:pPr>
        <w:spacing w:before="120" w:after="120" w:line="360" w:lineRule="auto"/>
        <w:rPr>
          <w:rFonts w:cs="Arial"/>
          <w:bCs/>
        </w:rPr>
      </w:pPr>
      <w:r w:rsidRPr="0057187F">
        <w:rPr>
          <w:rFonts w:cs="Arial"/>
          <w:bCs/>
        </w:rPr>
        <w:t>Kwestie równości szans i niedyskryminacji, w tym dostępności dla osób z niepełnosprawnościami oraz równości kobiet i mężczyzn regulują m.in. następujące akty prawne i dokumenty:</w:t>
      </w:r>
    </w:p>
    <w:p w14:paraId="7471C52B" w14:textId="62AA7117" w:rsidR="001D2311" w:rsidRPr="0057187F" w:rsidRDefault="001D2311" w:rsidP="0057187F">
      <w:pPr>
        <w:numPr>
          <w:ilvl w:val="0"/>
          <w:numId w:val="5"/>
        </w:numPr>
        <w:suppressAutoHyphens/>
        <w:spacing w:before="120" w:after="120" w:line="360" w:lineRule="auto"/>
        <w:rPr>
          <w:rFonts w:eastAsia="Calibri" w:cs="Arial"/>
          <w:lang w:eastAsia="en-US"/>
        </w:rPr>
      </w:pPr>
      <w:bookmarkStart w:id="24" w:name="_Toc98428192"/>
      <w:bookmarkStart w:id="25" w:name="_Toc98761664"/>
      <w:bookmarkStart w:id="26" w:name="_Toc98934368"/>
      <w:r w:rsidRPr="0057187F">
        <w:rPr>
          <w:rFonts w:eastAsia="Calibri" w:cs="Arial"/>
          <w:lang w:eastAsia="en-US"/>
        </w:rPr>
        <w:t xml:space="preserve">Konstytucja Rzeczypospolitej Polskiej z dnia 2 kwietnia 1997 r. (Dz. U. </w:t>
      </w:r>
      <w:r w:rsidR="00F54910">
        <w:rPr>
          <w:rFonts w:eastAsia="Calibri" w:cs="Arial"/>
          <w:lang w:eastAsia="en-US"/>
        </w:rPr>
        <w:t xml:space="preserve">78 </w:t>
      </w:r>
      <w:r w:rsidRPr="0057187F">
        <w:rPr>
          <w:rFonts w:eastAsia="Calibri" w:cs="Arial"/>
          <w:lang w:eastAsia="en-US"/>
        </w:rPr>
        <w:t xml:space="preserve">poz. 483, z </w:t>
      </w:r>
      <w:proofErr w:type="spellStart"/>
      <w:r w:rsidRPr="0057187F">
        <w:rPr>
          <w:rFonts w:eastAsia="Calibri" w:cs="Arial"/>
          <w:lang w:eastAsia="en-US"/>
        </w:rPr>
        <w:t>późn</w:t>
      </w:r>
      <w:proofErr w:type="spellEnd"/>
      <w:r w:rsidRPr="0057187F">
        <w:rPr>
          <w:rFonts w:eastAsia="Calibri" w:cs="Arial"/>
          <w:lang w:eastAsia="en-US"/>
        </w:rPr>
        <w:t>. zm.);</w:t>
      </w:r>
    </w:p>
    <w:p w14:paraId="4BA5ED78" w14:textId="77777777" w:rsidR="001D2311" w:rsidRPr="0057187F" w:rsidRDefault="001D2311" w:rsidP="0057187F">
      <w:pPr>
        <w:numPr>
          <w:ilvl w:val="0"/>
          <w:numId w:val="5"/>
        </w:numPr>
        <w:suppressAutoHyphens/>
        <w:spacing w:before="120" w:after="120" w:line="360" w:lineRule="auto"/>
        <w:rPr>
          <w:rFonts w:eastAsia="Calibri" w:cs="Arial"/>
          <w:lang w:eastAsia="en-US"/>
        </w:rPr>
      </w:pPr>
      <w:r w:rsidRPr="0057187F">
        <w:rPr>
          <w:rFonts w:eastAsia="Calibri" w:cs="Arial"/>
          <w:lang w:eastAsia="en-US"/>
        </w:rPr>
        <w:t>KPON;</w:t>
      </w:r>
    </w:p>
    <w:p w14:paraId="3793EF55" w14:textId="404E71B2" w:rsidR="001D2311" w:rsidRPr="00F54910" w:rsidRDefault="001D2311" w:rsidP="00C97857">
      <w:pPr>
        <w:numPr>
          <w:ilvl w:val="0"/>
          <w:numId w:val="5"/>
        </w:numPr>
        <w:suppressAutoHyphens/>
        <w:spacing w:before="120" w:after="120" w:line="360" w:lineRule="auto"/>
        <w:rPr>
          <w:rFonts w:eastAsia="Calibri" w:cs="Arial"/>
          <w:lang w:eastAsia="en-US"/>
        </w:rPr>
      </w:pPr>
      <w:r w:rsidRPr="0057187F">
        <w:rPr>
          <w:rFonts w:eastAsia="Calibri" w:cs="Arial"/>
          <w:lang w:eastAsia="en-US"/>
        </w:rPr>
        <w:t>Traktat o Funkcjonowaniu Unii Europejskiej (Dz. Urz. UE C 202 z 07.06.2016, str. 1</w:t>
      </w:r>
      <w:r w:rsidRPr="0057187F">
        <w:rPr>
          <w:rFonts w:eastAsia="Calibri" w:cs="Arial"/>
          <w:iCs/>
          <w:lang w:eastAsia="en-US"/>
        </w:rPr>
        <w:t>)</w:t>
      </w:r>
      <w:r w:rsidR="00C97857">
        <w:rPr>
          <w:rFonts w:eastAsia="Calibri" w:cs="Arial"/>
          <w:lang w:eastAsia="en-US"/>
        </w:rPr>
        <w:t>;</w:t>
      </w:r>
    </w:p>
    <w:p w14:paraId="30CA6227" w14:textId="7FFF4235" w:rsidR="00C97857" w:rsidRPr="00C97857" w:rsidRDefault="00C97857" w:rsidP="00C97857">
      <w:pPr>
        <w:numPr>
          <w:ilvl w:val="0"/>
          <w:numId w:val="5"/>
        </w:numPr>
        <w:suppressAutoHyphens/>
        <w:spacing w:before="120" w:after="120" w:line="360" w:lineRule="auto"/>
        <w:rPr>
          <w:rFonts w:eastAsia="Calibri" w:cs="Arial"/>
          <w:lang w:eastAsia="en-US"/>
        </w:rPr>
      </w:pPr>
      <w:r>
        <w:rPr>
          <w:rFonts w:eastAsia="Calibri" w:cs="Arial"/>
          <w:iCs/>
          <w:lang w:eastAsia="en-US"/>
        </w:rPr>
        <w:t>Traktat o Unii Europejskiej (Dz.</w:t>
      </w:r>
      <w:r w:rsidR="00CD7463">
        <w:rPr>
          <w:rFonts w:eastAsia="Calibri" w:cs="Arial"/>
          <w:iCs/>
          <w:lang w:eastAsia="en-US"/>
        </w:rPr>
        <w:t xml:space="preserve"> </w:t>
      </w:r>
      <w:r>
        <w:rPr>
          <w:rFonts w:eastAsia="Calibri" w:cs="Arial"/>
          <w:iCs/>
          <w:lang w:eastAsia="en-US"/>
        </w:rPr>
        <w:t>Urz. UE</w:t>
      </w:r>
    </w:p>
    <w:p w14:paraId="41516872" w14:textId="77777777" w:rsidR="001D2311" w:rsidRPr="0057187F" w:rsidRDefault="001D2311" w:rsidP="0057187F">
      <w:pPr>
        <w:numPr>
          <w:ilvl w:val="0"/>
          <w:numId w:val="5"/>
        </w:numPr>
        <w:suppressAutoHyphens/>
        <w:spacing w:before="120" w:after="120" w:line="360" w:lineRule="auto"/>
        <w:rPr>
          <w:rFonts w:eastAsia="Calibri" w:cs="Arial"/>
          <w:lang w:eastAsia="en-US"/>
        </w:rPr>
      </w:pPr>
      <w:r w:rsidRPr="0057187F">
        <w:rPr>
          <w:rFonts w:eastAsia="Calibri" w:cs="Arial"/>
          <w:lang w:eastAsia="en-US"/>
        </w:rPr>
        <w:t>KPP;</w:t>
      </w:r>
    </w:p>
    <w:p w14:paraId="6B20ABB6" w14:textId="77777777" w:rsidR="001D2311" w:rsidRPr="0057187F" w:rsidRDefault="001D2311" w:rsidP="0057187F">
      <w:pPr>
        <w:numPr>
          <w:ilvl w:val="0"/>
          <w:numId w:val="5"/>
        </w:numPr>
        <w:suppressAutoHyphens/>
        <w:spacing w:before="120" w:after="120" w:line="360" w:lineRule="auto"/>
        <w:rPr>
          <w:rFonts w:eastAsia="Calibri" w:cs="Arial"/>
          <w:lang w:eastAsia="en-US"/>
        </w:rPr>
      </w:pPr>
      <w:r w:rsidRPr="0057187F">
        <w:rPr>
          <w:rFonts w:eastAsia="Calibri" w:cs="Arial"/>
          <w:lang w:eastAsia="en-US"/>
        </w:rPr>
        <w:t>Europejski Filar Praw Socjalnych;</w:t>
      </w:r>
    </w:p>
    <w:p w14:paraId="5F685E33" w14:textId="77777777" w:rsidR="001D2311" w:rsidRPr="0057187F" w:rsidRDefault="001D2311" w:rsidP="0057187F">
      <w:pPr>
        <w:numPr>
          <w:ilvl w:val="0"/>
          <w:numId w:val="5"/>
        </w:numPr>
        <w:suppressAutoHyphens/>
        <w:spacing w:before="120" w:after="120" w:line="360" w:lineRule="auto"/>
        <w:rPr>
          <w:rFonts w:eastAsia="Calibri" w:cs="Arial"/>
          <w:lang w:eastAsia="en-US"/>
        </w:rPr>
      </w:pPr>
      <w:r w:rsidRPr="0057187F">
        <w:rPr>
          <w:rFonts w:eastAsia="Calibri" w:cs="Arial"/>
          <w:lang w:eastAsia="en-US"/>
        </w:rPr>
        <w:t>ustawa z dnia 3 grudnia 2010 r. o wdrożeniu niektórych przepisów Unii Europejskiej w zakresie równego traktowania (Dz. U. z 2020 r. poz. 2156);</w:t>
      </w:r>
    </w:p>
    <w:p w14:paraId="41F2B8BF" w14:textId="77777777" w:rsidR="001D2311" w:rsidRPr="0057187F" w:rsidRDefault="001D2311" w:rsidP="0057187F">
      <w:pPr>
        <w:numPr>
          <w:ilvl w:val="0"/>
          <w:numId w:val="5"/>
        </w:numPr>
        <w:suppressAutoHyphens/>
        <w:spacing w:before="120" w:after="120" w:line="360" w:lineRule="auto"/>
        <w:rPr>
          <w:rFonts w:eastAsia="Calibri" w:cs="Arial"/>
          <w:lang w:eastAsia="en-US"/>
        </w:rPr>
      </w:pPr>
      <w:r w:rsidRPr="0057187F">
        <w:rPr>
          <w:rFonts w:eastAsia="Calibri" w:cs="Arial"/>
          <w:lang w:eastAsia="en-US"/>
        </w:rPr>
        <w:t>rozporządzenie ogólne;</w:t>
      </w:r>
    </w:p>
    <w:p w14:paraId="17A658A5" w14:textId="77777777" w:rsidR="001D2311" w:rsidRPr="0057187F" w:rsidRDefault="001D2311" w:rsidP="0057187F">
      <w:pPr>
        <w:numPr>
          <w:ilvl w:val="0"/>
          <w:numId w:val="5"/>
        </w:numPr>
        <w:suppressAutoHyphens/>
        <w:spacing w:before="120" w:after="120" w:line="360" w:lineRule="auto"/>
        <w:rPr>
          <w:rFonts w:eastAsia="Calibri" w:cs="Arial"/>
          <w:lang w:eastAsia="en-US"/>
        </w:rPr>
      </w:pPr>
      <w:r w:rsidRPr="0057187F">
        <w:rPr>
          <w:rFonts w:eastAsia="Calibri" w:cs="Arial"/>
          <w:lang w:eastAsia="en-US"/>
        </w:rPr>
        <w:t>rozporządzenie EFS+;</w:t>
      </w:r>
    </w:p>
    <w:p w14:paraId="63A382F0" w14:textId="06ED8CEF" w:rsidR="001D2311" w:rsidRPr="0057187F" w:rsidRDefault="001D2311" w:rsidP="0057187F">
      <w:pPr>
        <w:numPr>
          <w:ilvl w:val="0"/>
          <w:numId w:val="5"/>
        </w:numPr>
        <w:suppressAutoHyphens/>
        <w:spacing w:before="120" w:after="120" w:line="360" w:lineRule="auto"/>
        <w:rPr>
          <w:rFonts w:eastAsia="Calibri" w:cs="Arial"/>
          <w:lang w:eastAsia="en-US"/>
        </w:rPr>
      </w:pPr>
      <w:r w:rsidRPr="0057187F">
        <w:rPr>
          <w:rFonts w:eastAsia="Calibri" w:cs="Arial"/>
          <w:lang w:eastAsia="en-US"/>
        </w:rPr>
        <w:t xml:space="preserve">rozporządzenie Parlamentu Europejskiego i Rady (UE) 2021/1058 z dnia 24 czerwca 2021 r. w sprawie Europejskiego Funduszu Rozwoju Regionalnego </w:t>
      </w:r>
      <w:r w:rsidR="00590863">
        <w:rPr>
          <w:rFonts w:eastAsia="Calibri" w:cs="Arial"/>
          <w:lang w:eastAsia="en-US"/>
        </w:rPr>
        <w:br/>
      </w:r>
      <w:r w:rsidRPr="0057187F">
        <w:rPr>
          <w:rFonts w:eastAsia="Calibri" w:cs="Arial"/>
          <w:lang w:eastAsia="en-US"/>
        </w:rPr>
        <w:t xml:space="preserve">i Funduszu Spójności (Dz. Urz. UE L 231 z 30.06.2021, str. 60, z </w:t>
      </w:r>
      <w:proofErr w:type="spellStart"/>
      <w:r w:rsidRPr="0057187F">
        <w:rPr>
          <w:rFonts w:eastAsia="Calibri" w:cs="Arial"/>
          <w:lang w:eastAsia="en-US"/>
        </w:rPr>
        <w:t>późn</w:t>
      </w:r>
      <w:proofErr w:type="spellEnd"/>
      <w:r w:rsidRPr="0057187F">
        <w:rPr>
          <w:rFonts w:eastAsia="Calibri" w:cs="Arial"/>
          <w:lang w:eastAsia="en-US"/>
        </w:rPr>
        <w:t>. zm.);</w:t>
      </w:r>
    </w:p>
    <w:p w14:paraId="12E31897" w14:textId="1C6C92FB" w:rsidR="001D2311" w:rsidRPr="0057187F" w:rsidRDefault="007D6605" w:rsidP="0057187F">
      <w:pPr>
        <w:numPr>
          <w:ilvl w:val="0"/>
          <w:numId w:val="5"/>
        </w:numPr>
        <w:suppressAutoHyphens/>
        <w:spacing w:before="120" w:after="120" w:line="360" w:lineRule="auto"/>
        <w:rPr>
          <w:rFonts w:eastAsia="Calibri" w:cs="Arial"/>
          <w:lang w:eastAsia="en-US"/>
        </w:rPr>
      </w:pPr>
      <w:r w:rsidRPr="00DA067E">
        <w:rPr>
          <w:rFonts w:eastAsia="Calibri" w:cs="Arial"/>
          <w:lang w:eastAsia="en-US"/>
        </w:rPr>
        <w:t>U</w:t>
      </w:r>
      <w:r w:rsidRPr="0057187F">
        <w:rPr>
          <w:rFonts w:eastAsia="Calibri" w:cs="Arial"/>
          <w:lang w:eastAsia="en-US"/>
        </w:rPr>
        <w:t xml:space="preserve">mowa </w:t>
      </w:r>
      <w:r w:rsidR="001D2311" w:rsidRPr="0057187F">
        <w:rPr>
          <w:rFonts w:eastAsia="Calibri" w:cs="Arial"/>
          <w:lang w:eastAsia="en-US"/>
        </w:rPr>
        <w:t>Partnerstwa dla realizacji polityki spójności na lata 2021-2027 w Polsce;</w:t>
      </w:r>
    </w:p>
    <w:p w14:paraId="2D3325CF" w14:textId="77777777" w:rsidR="001D2311" w:rsidRPr="0057187F" w:rsidRDefault="001D2311" w:rsidP="0057187F">
      <w:pPr>
        <w:numPr>
          <w:ilvl w:val="0"/>
          <w:numId w:val="5"/>
        </w:numPr>
        <w:suppressAutoHyphens/>
        <w:spacing w:before="120" w:after="120" w:line="360" w:lineRule="auto"/>
        <w:rPr>
          <w:rFonts w:eastAsia="Calibri" w:cs="Arial"/>
          <w:lang w:eastAsia="en-US"/>
        </w:rPr>
      </w:pPr>
      <w:r w:rsidRPr="0057187F">
        <w:rPr>
          <w:rFonts w:eastAsia="Calibri" w:cs="Arial"/>
          <w:lang w:eastAsia="en-US"/>
        </w:rPr>
        <w:t xml:space="preserve">komunikat Komisji do Parlamentu Europejskiego, Rady, Europejskiego Komitetu Ekonomiczno-Społecznego i Komitetu Regionów z dnia 5 marca 2020 r. – Unia równości: Strategia na rzecz równouprawnienia płci 2020-2025 COM(2020) 152 </w:t>
      </w:r>
      <w:proofErr w:type="spellStart"/>
      <w:r w:rsidRPr="0057187F">
        <w:rPr>
          <w:rFonts w:eastAsia="Calibri" w:cs="Arial"/>
          <w:lang w:eastAsia="en-US"/>
        </w:rPr>
        <w:t>final</w:t>
      </w:r>
      <w:proofErr w:type="spellEnd"/>
      <w:r w:rsidRPr="0057187F">
        <w:rPr>
          <w:rFonts w:eastAsia="Calibri" w:cs="Arial"/>
          <w:lang w:eastAsia="en-US"/>
        </w:rPr>
        <w:t>;</w:t>
      </w:r>
    </w:p>
    <w:p w14:paraId="1E3E3E95" w14:textId="318848F0" w:rsidR="001D2311" w:rsidRDefault="001D2311" w:rsidP="0057187F">
      <w:pPr>
        <w:numPr>
          <w:ilvl w:val="0"/>
          <w:numId w:val="5"/>
        </w:numPr>
        <w:suppressAutoHyphens/>
        <w:spacing w:before="120" w:after="120" w:line="360" w:lineRule="auto"/>
        <w:rPr>
          <w:rFonts w:eastAsia="Calibri" w:cs="Arial"/>
          <w:lang w:eastAsia="en-US"/>
        </w:rPr>
      </w:pPr>
      <w:r w:rsidRPr="0057187F">
        <w:rPr>
          <w:rFonts w:eastAsia="Calibri" w:cs="Arial"/>
          <w:lang w:eastAsia="en-US"/>
        </w:rPr>
        <w:t xml:space="preserve">komunikat Komisji do Parlamentu Europejskiego, Rady, Europejskiego Komitetu Ekonomiczno-Społecznego i Komitetu Regionów z dnia 3 marca </w:t>
      </w:r>
      <w:r w:rsidRPr="0057187F">
        <w:rPr>
          <w:rFonts w:eastAsia="Calibri" w:cs="Arial"/>
          <w:lang w:eastAsia="en-US"/>
        </w:rPr>
        <w:lastRenderedPageBreak/>
        <w:t xml:space="preserve">2021 – Unia równości: Strategia na rzecz praw osób z niepełnosprawnościami na lata 2021–2030 COM(2021) 101 </w:t>
      </w:r>
      <w:proofErr w:type="spellStart"/>
      <w:r w:rsidRPr="0057187F">
        <w:rPr>
          <w:rFonts w:eastAsia="Calibri" w:cs="Arial"/>
          <w:lang w:eastAsia="en-US"/>
        </w:rPr>
        <w:t>final</w:t>
      </w:r>
      <w:proofErr w:type="spellEnd"/>
      <w:r w:rsidRPr="0057187F">
        <w:rPr>
          <w:rFonts w:eastAsia="Calibri" w:cs="Arial"/>
          <w:lang w:eastAsia="en-US"/>
        </w:rPr>
        <w:t>;</w:t>
      </w:r>
    </w:p>
    <w:p w14:paraId="5462FC06" w14:textId="62446372" w:rsidR="006C3B39" w:rsidRPr="0057187F" w:rsidRDefault="006C3B39" w:rsidP="0057187F">
      <w:pPr>
        <w:numPr>
          <w:ilvl w:val="0"/>
          <w:numId w:val="5"/>
        </w:numPr>
        <w:suppressAutoHyphens/>
        <w:spacing w:before="120" w:after="120" w:line="360" w:lineRule="auto"/>
        <w:rPr>
          <w:rFonts w:eastAsia="Calibri" w:cs="Arial"/>
          <w:lang w:eastAsia="en-US"/>
        </w:rPr>
      </w:pPr>
      <w:r w:rsidRPr="0057187F">
        <w:rPr>
          <w:rFonts w:eastAsia="Calibri" w:cs="Arial"/>
          <w:lang w:eastAsia="en-US"/>
        </w:rPr>
        <w:t>komunikat Komisji do Parlamentu Europejskiego, Rady, Europejskiego Komitetu Ekonomiczno-Społecznego i Komitetu Regionów</w:t>
      </w:r>
      <w:r>
        <w:rPr>
          <w:rFonts w:eastAsia="Calibri" w:cs="Arial"/>
          <w:lang w:eastAsia="en-US"/>
        </w:rPr>
        <w:t xml:space="preserve"> z dnia </w:t>
      </w:r>
      <w:r w:rsidRPr="006C3B39">
        <w:rPr>
          <w:rFonts w:eastAsia="Calibri" w:cs="Arial"/>
          <w:lang w:eastAsia="en-US"/>
        </w:rPr>
        <w:t>– Unia równości: strategia na rzecz równości osób LGBTIQ na lata 2020–2025 COM(2020) 698.</w:t>
      </w:r>
    </w:p>
    <w:p w14:paraId="54F39F70" w14:textId="74A7F636" w:rsidR="001D2311" w:rsidRPr="0057187F" w:rsidRDefault="001D2311" w:rsidP="0057187F">
      <w:pPr>
        <w:numPr>
          <w:ilvl w:val="0"/>
          <w:numId w:val="5"/>
        </w:numPr>
        <w:suppressAutoHyphens/>
        <w:spacing w:before="120" w:after="120" w:line="360" w:lineRule="auto"/>
        <w:rPr>
          <w:rFonts w:eastAsia="Calibri" w:cs="Arial"/>
          <w:lang w:eastAsia="en-US"/>
        </w:rPr>
      </w:pPr>
      <w:bookmarkStart w:id="27" w:name="_Hlk113261614"/>
      <w:r w:rsidRPr="0057187F">
        <w:rPr>
          <w:rFonts w:eastAsia="Calibri" w:cs="Arial"/>
          <w:lang w:eastAsia="en-US"/>
        </w:rPr>
        <w:t xml:space="preserve">ustawa z dnia 4 kwietnia 2019 r. o dostępności cyfrowej stron internetowych </w:t>
      </w:r>
      <w:r w:rsidR="00590863">
        <w:rPr>
          <w:rFonts w:eastAsia="Calibri" w:cs="Arial"/>
          <w:lang w:eastAsia="en-US"/>
        </w:rPr>
        <w:br/>
      </w:r>
      <w:r w:rsidRPr="0057187F">
        <w:rPr>
          <w:rFonts w:eastAsia="Calibri" w:cs="Arial"/>
          <w:lang w:eastAsia="en-US"/>
        </w:rPr>
        <w:t>i aplikacji mobilnych podmiotów publicznych</w:t>
      </w:r>
      <w:bookmarkEnd w:id="27"/>
      <w:r w:rsidRPr="0057187F">
        <w:rPr>
          <w:rFonts w:eastAsia="Calibri" w:cs="Arial"/>
          <w:lang w:eastAsia="en-US"/>
        </w:rPr>
        <w:t>, zwana dalej „ustawą o dostępności cyfrowej”;</w:t>
      </w:r>
    </w:p>
    <w:p w14:paraId="21386634" w14:textId="77777777" w:rsidR="001D2311" w:rsidRPr="0057187F" w:rsidRDefault="001D2311" w:rsidP="0057187F">
      <w:pPr>
        <w:numPr>
          <w:ilvl w:val="0"/>
          <w:numId w:val="5"/>
        </w:numPr>
        <w:suppressAutoHyphens/>
        <w:spacing w:before="120" w:after="120" w:line="360" w:lineRule="auto"/>
        <w:rPr>
          <w:rFonts w:eastAsia="Calibri" w:cs="Arial"/>
          <w:lang w:eastAsia="en-US"/>
        </w:rPr>
      </w:pPr>
      <w:bookmarkStart w:id="28" w:name="_Hlk113261593"/>
      <w:r w:rsidRPr="0057187F">
        <w:rPr>
          <w:rFonts w:eastAsia="Calibri" w:cs="Arial"/>
          <w:lang w:eastAsia="en-US"/>
        </w:rPr>
        <w:t>ustawa z dnia 19 lipca 2019 r. o zapewnianiu dostępności osobom ze szczególnymi potrzebami</w:t>
      </w:r>
      <w:bookmarkEnd w:id="28"/>
      <w:r w:rsidRPr="0057187F">
        <w:rPr>
          <w:rFonts w:eastAsia="Calibri" w:cs="Arial"/>
          <w:lang w:eastAsia="en-US"/>
        </w:rPr>
        <w:t>, zwana dalej „ustawą o zapewnianiu dostępności”;</w:t>
      </w:r>
    </w:p>
    <w:p w14:paraId="0BB59C8E" w14:textId="77777777" w:rsidR="001D2311" w:rsidRPr="0057187F" w:rsidRDefault="001D2311" w:rsidP="0057187F">
      <w:pPr>
        <w:numPr>
          <w:ilvl w:val="0"/>
          <w:numId w:val="5"/>
        </w:numPr>
        <w:suppressAutoHyphens/>
        <w:spacing w:before="120" w:after="120" w:line="360" w:lineRule="auto"/>
        <w:rPr>
          <w:rFonts w:eastAsia="Calibri" w:cs="Arial"/>
          <w:lang w:eastAsia="en-US"/>
        </w:rPr>
      </w:pPr>
      <w:bookmarkStart w:id="29" w:name="_Hlk113261634"/>
      <w:r w:rsidRPr="0057187F">
        <w:rPr>
          <w:rFonts w:eastAsia="Calibri" w:cs="Arial"/>
          <w:lang w:eastAsia="en-US"/>
        </w:rPr>
        <w:t xml:space="preserve">dyrektywa Parlamentu Europejskiego i Rady (UE) 2019/882 z dnia 17 kwietnia 2019 r. w sprawie wymogów dostępności produktów i usług </w:t>
      </w:r>
      <w:bookmarkEnd w:id="29"/>
      <w:r w:rsidRPr="0057187F">
        <w:rPr>
          <w:rFonts w:eastAsia="Calibri" w:cs="Arial"/>
          <w:lang w:eastAsia="en-US"/>
        </w:rPr>
        <w:t>(Dz. Urz. UE L 151 z 07.06.2019, str. 70), zwana dalej „dyrektywą EAA”, oraz ustawa wdrażająca dyrektywę EAA;</w:t>
      </w:r>
    </w:p>
    <w:p w14:paraId="7861E068" w14:textId="0C7D79C7" w:rsidR="001D2311" w:rsidRPr="0057187F" w:rsidRDefault="001D2311" w:rsidP="0057187F">
      <w:pPr>
        <w:numPr>
          <w:ilvl w:val="0"/>
          <w:numId w:val="5"/>
        </w:numPr>
        <w:suppressAutoHyphens/>
        <w:spacing w:before="120" w:after="120" w:line="360" w:lineRule="auto"/>
        <w:rPr>
          <w:rFonts w:eastAsia="Calibri" w:cs="Arial"/>
          <w:lang w:eastAsia="en-US"/>
        </w:rPr>
      </w:pPr>
      <w:r w:rsidRPr="0057187F">
        <w:rPr>
          <w:rFonts w:eastAsia="Calibri" w:cs="Arial"/>
          <w:lang w:eastAsia="en-US"/>
        </w:rPr>
        <w:t>Rządowy Program Dostępność Plus 2018-2025</w:t>
      </w:r>
      <w:r w:rsidR="004E50C0">
        <w:rPr>
          <w:rFonts w:eastAsia="Calibri" w:cs="Arial"/>
          <w:lang w:eastAsia="en-US"/>
        </w:rPr>
        <w:t xml:space="preserve"> przyjęty uchwałą Rady Ministrów nr 102 z dnia 17 lipca 2018 r</w:t>
      </w:r>
      <w:r w:rsidR="00EB2F79">
        <w:rPr>
          <w:rFonts w:eastAsia="Calibri" w:cs="Arial"/>
          <w:lang w:eastAsia="en-US"/>
        </w:rPr>
        <w:t xml:space="preserve">. </w:t>
      </w:r>
      <w:r w:rsidR="00EB2F79" w:rsidRPr="00EB2F79">
        <w:rPr>
          <w:rFonts w:eastAsia="Calibri" w:cs="Arial"/>
          <w:lang w:eastAsia="en-US"/>
        </w:rPr>
        <w:t>(RM-111-89-18)</w:t>
      </w:r>
      <w:r w:rsidR="00EB2F79">
        <w:rPr>
          <w:rFonts w:eastAsia="Calibri" w:cs="Arial"/>
          <w:lang w:eastAsia="en-US"/>
        </w:rPr>
        <w:t>;</w:t>
      </w:r>
      <w:r w:rsidR="004E50C0">
        <w:rPr>
          <w:rFonts w:eastAsia="Calibri" w:cs="Arial"/>
          <w:lang w:eastAsia="en-US"/>
        </w:rPr>
        <w:t xml:space="preserve"> </w:t>
      </w:r>
    </w:p>
    <w:p w14:paraId="2F1A40BA" w14:textId="0C4F6E72" w:rsidR="001D2311" w:rsidRDefault="001D2311" w:rsidP="0057187F">
      <w:pPr>
        <w:numPr>
          <w:ilvl w:val="0"/>
          <w:numId w:val="5"/>
        </w:numPr>
        <w:suppressAutoHyphens/>
        <w:spacing w:before="120" w:after="120" w:line="360" w:lineRule="auto"/>
        <w:rPr>
          <w:rFonts w:eastAsia="Calibri" w:cs="Arial"/>
          <w:lang w:eastAsia="en-US"/>
        </w:rPr>
      </w:pPr>
      <w:r w:rsidRPr="0057187F">
        <w:rPr>
          <w:rFonts w:eastAsia="Calibri" w:cs="Arial"/>
          <w:lang w:eastAsia="en-US"/>
        </w:rPr>
        <w:t>Strategia na rzecz Osób z Niepełnosprawnościami 2021-2030 przyjęta uchwałą nr 27 Rady Ministrów z dnia 16 lutego 2021 r. w sprawie przyjęcia dokumentu Strategia na rzecz Osób z Niepełnosprawnościami 2021–2030</w:t>
      </w:r>
      <w:r w:rsidR="00F54910">
        <w:rPr>
          <w:rFonts w:eastAsia="Calibri" w:cs="Arial"/>
          <w:lang w:eastAsia="en-US"/>
        </w:rPr>
        <w:t>;</w:t>
      </w:r>
    </w:p>
    <w:p w14:paraId="6CC29F0D" w14:textId="18A4EEC1" w:rsidR="00F54910" w:rsidRDefault="00F54910" w:rsidP="0057187F">
      <w:pPr>
        <w:numPr>
          <w:ilvl w:val="0"/>
          <w:numId w:val="5"/>
        </w:numPr>
        <w:suppressAutoHyphens/>
        <w:spacing w:before="120" w:after="120" w:line="360" w:lineRule="auto"/>
        <w:rPr>
          <w:rFonts w:eastAsia="Calibri" w:cs="Arial"/>
          <w:lang w:eastAsia="en-US"/>
        </w:rPr>
      </w:pPr>
      <w:r>
        <w:rPr>
          <w:rFonts w:eastAsia="Calibri" w:cs="Arial"/>
          <w:lang w:eastAsia="en-US"/>
        </w:rPr>
        <w:t>Krajowy program działań na rzecz równego traktowania lata 2022-2030</w:t>
      </w:r>
      <w:r w:rsidR="002842FE">
        <w:rPr>
          <w:rFonts w:eastAsia="Calibri" w:cs="Arial"/>
          <w:lang w:eastAsia="en-US"/>
        </w:rPr>
        <w:t xml:space="preserve"> przyjęty uchwałą nr </w:t>
      </w:r>
      <w:r w:rsidR="00721390">
        <w:rPr>
          <w:rFonts w:eastAsia="Calibri" w:cs="Arial"/>
          <w:lang w:eastAsia="en-US"/>
        </w:rPr>
        <w:t>113 Rady Ministrów z dnia</w:t>
      </w:r>
      <w:r w:rsidR="00724E41">
        <w:rPr>
          <w:rFonts w:eastAsia="Calibri" w:cs="Arial"/>
          <w:lang w:eastAsia="en-US"/>
        </w:rPr>
        <w:t xml:space="preserve"> 24 maja 2022 r</w:t>
      </w:r>
      <w:r w:rsidR="00043677">
        <w:rPr>
          <w:rFonts w:eastAsia="Calibri" w:cs="Arial"/>
          <w:lang w:eastAsia="en-US"/>
        </w:rPr>
        <w:t xml:space="preserve"> (M.P. poz. 640).</w:t>
      </w:r>
    </w:p>
    <w:p w14:paraId="0A683224" w14:textId="77777777" w:rsidR="00E836A8" w:rsidRPr="0057187F" w:rsidRDefault="00E836A8" w:rsidP="00E836A8">
      <w:pPr>
        <w:suppressAutoHyphens/>
        <w:spacing w:before="120" w:after="120" w:line="360" w:lineRule="auto"/>
        <w:ind w:left="720"/>
        <w:rPr>
          <w:rFonts w:eastAsia="Calibri" w:cs="Arial"/>
          <w:lang w:eastAsia="en-US"/>
        </w:rPr>
      </w:pPr>
    </w:p>
    <w:p w14:paraId="41F98B70" w14:textId="3F4521AA" w:rsidR="001D2311" w:rsidRPr="0057187F" w:rsidRDefault="001D2311" w:rsidP="0057187F">
      <w:pPr>
        <w:pStyle w:val="Nagwek1"/>
        <w:rPr>
          <w:rFonts w:cs="Arial"/>
        </w:rPr>
      </w:pPr>
      <w:bookmarkStart w:id="30" w:name="_Toc108787447"/>
      <w:r w:rsidRPr="0057187F">
        <w:rPr>
          <w:rFonts w:cs="Arial"/>
        </w:rPr>
        <w:lastRenderedPageBreak/>
        <w:t>Rozdział 3. Informacje ogólne</w:t>
      </w:r>
      <w:bookmarkEnd w:id="30"/>
    </w:p>
    <w:p w14:paraId="69CF85EA" w14:textId="32BB6DB2" w:rsidR="001D2311" w:rsidRPr="0057187F" w:rsidRDefault="001D2311" w:rsidP="0057187F">
      <w:pPr>
        <w:numPr>
          <w:ilvl w:val="0"/>
          <w:numId w:val="6"/>
        </w:numPr>
        <w:spacing w:before="120" w:after="120" w:line="360" w:lineRule="auto"/>
        <w:rPr>
          <w:rFonts w:eastAsia="Calibri" w:cs="Arial"/>
          <w:i/>
          <w:lang w:eastAsia="en-US"/>
        </w:rPr>
      </w:pPr>
      <w:r w:rsidRPr="0057187F">
        <w:rPr>
          <w:rFonts w:eastAsia="Calibri" w:cs="Arial"/>
          <w:lang w:eastAsia="en-US"/>
        </w:rPr>
        <w:t>Zmiany struktury wiekowej ludności i wzrost odsetka osób ze szczególnymi potrzebami (w tym z niepełnosprawności</w:t>
      </w:r>
      <w:r w:rsidR="002D287B">
        <w:rPr>
          <w:rFonts w:eastAsia="Calibri" w:cs="Arial"/>
          <w:lang w:eastAsia="en-US"/>
        </w:rPr>
        <w:t>ami</w:t>
      </w:r>
      <w:r w:rsidRPr="0057187F">
        <w:rPr>
          <w:rFonts w:eastAsia="Calibri" w:cs="Arial"/>
          <w:lang w:eastAsia="en-US"/>
        </w:rPr>
        <w:t xml:space="preserve"> i osób starszych</w:t>
      </w:r>
      <w:r w:rsidRPr="0057187F">
        <w:rPr>
          <w:rFonts w:eastAsia="Calibri" w:cs="Arial"/>
          <w:vertAlign w:val="superscript"/>
          <w:lang w:eastAsia="en-US"/>
        </w:rPr>
        <w:footnoteReference w:id="6"/>
      </w:r>
      <w:r w:rsidRPr="0057187F">
        <w:rPr>
          <w:rFonts w:eastAsia="Calibri" w:cs="Arial"/>
          <w:lang w:eastAsia="en-US"/>
        </w:rPr>
        <w:t xml:space="preserve">) w społeczeństwie wymagają wzmocnienia i rozszerzenia działań na rzecz poprawy dostępności dla osób o różnych potrzebach funkcjonalnych. </w:t>
      </w:r>
      <w:r w:rsidR="00590863">
        <w:rPr>
          <w:rFonts w:eastAsia="Calibri" w:cs="Arial"/>
          <w:lang w:eastAsia="en-US"/>
        </w:rPr>
        <w:br/>
      </w:r>
      <w:r w:rsidRPr="0057187F">
        <w:rPr>
          <w:rFonts w:eastAsia="Calibri" w:cs="Arial"/>
          <w:lang w:eastAsia="en-US"/>
        </w:rPr>
        <w:t xml:space="preserve">Stanowi to bowiem warunek pełnego uczestnictwa w życiu społecznym </w:t>
      </w:r>
      <w:r w:rsidR="00590863">
        <w:rPr>
          <w:rFonts w:eastAsia="Calibri" w:cs="Arial"/>
          <w:lang w:eastAsia="en-US"/>
        </w:rPr>
        <w:br/>
      </w:r>
      <w:r w:rsidRPr="0057187F">
        <w:rPr>
          <w:rFonts w:eastAsia="Calibri" w:cs="Arial"/>
          <w:lang w:eastAsia="en-US"/>
        </w:rPr>
        <w:t>i gospodarczym. Problem dostępności jest zagadnieniem horyzontalnym, które warunkuje aktywność zawodową i społeczną osób zagrożonych wykluczeniem</w:t>
      </w:r>
      <w:r w:rsidRPr="0057187F">
        <w:rPr>
          <w:rFonts w:eastAsia="Calibri" w:cs="Arial"/>
          <w:vertAlign w:val="superscript"/>
          <w:lang w:eastAsia="en-US"/>
        </w:rPr>
        <w:footnoteReference w:id="7"/>
      </w:r>
      <w:r w:rsidRPr="0057187F">
        <w:rPr>
          <w:rFonts w:eastAsia="Calibri" w:cs="Arial"/>
          <w:lang w:eastAsia="en-US"/>
        </w:rPr>
        <w:t>. Wiąże się to też z efektywnym wykorzystaniem kapitału ludzkiego.</w:t>
      </w:r>
    </w:p>
    <w:p w14:paraId="59515698" w14:textId="5B6C1DEE" w:rsidR="001D2311" w:rsidRPr="0057187F" w:rsidRDefault="001D2311" w:rsidP="0057187F">
      <w:pPr>
        <w:numPr>
          <w:ilvl w:val="0"/>
          <w:numId w:val="6"/>
        </w:numPr>
        <w:spacing w:before="120" w:after="120" w:line="360" w:lineRule="auto"/>
        <w:rPr>
          <w:rFonts w:eastAsia="Calibri" w:cs="Arial"/>
          <w:i/>
          <w:lang w:eastAsia="en-US"/>
        </w:rPr>
      </w:pPr>
      <w:r w:rsidRPr="0057187F">
        <w:rPr>
          <w:rFonts w:eastAsia="Calibri" w:cs="Arial"/>
          <w:lang w:eastAsia="en-US"/>
        </w:rPr>
        <w:t xml:space="preserve">Osoby z niepełnosprawnościami to także konsumenci i obywatele, posiadający takie same prawa i obowiązki, zdolni podejmować decyzje i ponosić odpowiedzialność za sprawy, które ich dotyczą. Należy więc skupić się na umożliwieniu im pełnego, niezależnego udziału w życiu społecznym, </w:t>
      </w:r>
      <w:r w:rsidR="00590863">
        <w:rPr>
          <w:rFonts w:eastAsia="Calibri" w:cs="Arial"/>
          <w:lang w:eastAsia="en-US"/>
        </w:rPr>
        <w:br/>
      </w:r>
      <w:r w:rsidRPr="0057187F">
        <w:rPr>
          <w:rFonts w:eastAsia="Calibri" w:cs="Arial"/>
          <w:lang w:eastAsia="en-US"/>
        </w:rPr>
        <w:t>a także na eliminowaniu wszelkich podziałów (na przykład w edukacji, zatrudnieniu, dostępie do usług).</w:t>
      </w:r>
    </w:p>
    <w:p w14:paraId="2073F756" w14:textId="55F70CDC" w:rsidR="001D2311" w:rsidRPr="00DA067E" w:rsidRDefault="001D2311" w:rsidP="0057187F">
      <w:pPr>
        <w:numPr>
          <w:ilvl w:val="0"/>
          <w:numId w:val="6"/>
        </w:numPr>
        <w:spacing w:before="120" w:after="120" w:line="360" w:lineRule="auto"/>
        <w:rPr>
          <w:rFonts w:eastAsia="Calibri" w:cs="Arial"/>
          <w:i/>
          <w:lang w:eastAsia="en-US"/>
        </w:rPr>
      </w:pPr>
      <w:r w:rsidRPr="0057187F">
        <w:rPr>
          <w:rFonts w:eastAsia="Calibri" w:cs="Arial"/>
          <w:lang w:eastAsia="en-US"/>
        </w:rPr>
        <w:t xml:space="preserve">Osoby z niepełnosprawnościami stanowią niewykorzystany potencjał polskiej gospodarki – co wskazane zostało m.in. w Strategii na rzecz Odpowiedzialnego Rozwoju. Zgodnie z danymi Badania Aktywności Ekonomicznej Ludności (BAEL) </w:t>
      </w:r>
      <w:r w:rsidRPr="0057187F">
        <w:rPr>
          <w:rFonts w:cs="Arial"/>
        </w:rPr>
        <w:t xml:space="preserve">w </w:t>
      </w:r>
      <w:r w:rsidR="00AD7E58" w:rsidRPr="0057187F">
        <w:rPr>
          <w:rFonts w:cs="Arial"/>
        </w:rPr>
        <w:t>20</w:t>
      </w:r>
      <w:r w:rsidR="00AD7E58">
        <w:rPr>
          <w:rFonts w:cs="Arial"/>
        </w:rPr>
        <w:t>21</w:t>
      </w:r>
      <w:r w:rsidR="00AD7E58" w:rsidRPr="0057187F">
        <w:rPr>
          <w:rFonts w:cs="Arial"/>
        </w:rPr>
        <w:t xml:space="preserve"> </w:t>
      </w:r>
      <w:r w:rsidRPr="0057187F">
        <w:rPr>
          <w:rFonts w:cs="Arial"/>
        </w:rPr>
        <w:t xml:space="preserve">roku wskaźnik zatrudnienia osób </w:t>
      </w:r>
      <w:r w:rsidR="00590863">
        <w:rPr>
          <w:rFonts w:cs="Arial"/>
        </w:rPr>
        <w:br/>
      </w:r>
      <w:r w:rsidRPr="0057187F">
        <w:rPr>
          <w:rFonts w:cs="Arial"/>
        </w:rPr>
        <w:t xml:space="preserve">z niepełnosprawnościami w wieku produkcyjnym wyniósł </w:t>
      </w:r>
      <w:r w:rsidR="0053487E">
        <w:rPr>
          <w:rFonts w:cs="Arial"/>
        </w:rPr>
        <w:t>31,8</w:t>
      </w:r>
      <w:r w:rsidRPr="0057187F">
        <w:rPr>
          <w:rFonts w:cs="Arial"/>
        </w:rPr>
        <w:t xml:space="preserve">% i był </w:t>
      </w:r>
      <w:r w:rsidR="0053487E">
        <w:rPr>
          <w:rFonts w:cs="Arial"/>
          <w:bCs/>
        </w:rPr>
        <w:t>znacznie</w:t>
      </w:r>
      <w:r w:rsidRPr="0057187F">
        <w:rPr>
          <w:rFonts w:cs="Arial"/>
          <w:bCs/>
        </w:rPr>
        <w:t xml:space="preserve"> niższy niż średnia unijna (48,7%)</w:t>
      </w:r>
      <w:r w:rsidRPr="0057187F">
        <w:rPr>
          <w:rFonts w:cs="Arial"/>
          <w:bCs/>
          <w:vertAlign w:val="superscript"/>
        </w:rPr>
        <w:footnoteReference w:id="8"/>
      </w:r>
      <w:r w:rsidRPr="0057187F">
        <w:rPr>
          <w:rFonts w:cs="Arial"/>
          <w:bCs/>
        </w:rPr>
        <w:t>.</w:t>
      </w:r>
      <w:r w:rsidRPr="0057187F">
        <w:rPr>
          <w:rFonts w:eastAsia="Calibri" w:cs="Arial"/>
          <w:b/>
          <w:lang w:eastAsia="en-US"/>
        </w:rPr>
        <w:t xml:space="preserve"> </w:t>
      </w:r>
      <w:r w:rsidRPr="0057187F">
        <w:rPr>
          <w:rFonts w:eastAsia="Calibri" w:cs="Arial"/>
          <w:lang w:eastAsia="en-US"/>
        </w:rPr>
        <w:t xml:space="preserve">Na podstawie wyników Narodowego Spisu Powszechnego Ludności i Mieszkań z 2011 roku, liczba osób z </w:t>
      </w:r>
      <w:r w:rsidRPr="0057187F">
        <w:rPr>
          <w:rFonts w:eastAsia="Calibri" w:cs="Arial"/>
          <w:lang w:eastAsia="en-US"/>
        </w:rPr>
        <w:lastRenderedPageBreak/>
        <w:t xml:space="preserve">niepełnosprawnościami w Polsce wynosiła około 4,7 mln (co oznacza około 12% całej populacji kraju). </w:t>
      </w:r>
      <w:r w:rsidR="00537277">
        <w:rPr>
          <w:rFonts w:cs="Arial"/>
          <w:szCs w:val="30"/>
        </w:rPr>
        <w:t>Szacuje się jednak że</w:t>
      </w:r>
      <w:r w:rsidRPr="0057187F">
        <w:rPr>
          <w:rFonts w:cs="Arial"/>
          <w:szCs w:val="30"/>
        </w:rPr>
        <w:t xml:space="preserve"> nawet 30% społeczeństwa może mieć trwałe lub czasowe ograniczenia w mobilności czy percepcji. </w:t>
      </w:r>
      <w:r w:rsidR="00590863">
        <w:rPr>
          <w:rFonts w:cs="Arial"/>
          <w:szCs w:val="30"/>
        </w:rPr>
        <w:br/>
      </w:r>
      <w:r w:rsidRPr="0057187F">
        <w:rPr>
          <w:rFonts w:cs="Arial"/>
          <w:szCs w:val="30"/>
        </w:rPr>
        <w:t>Są to n</w:t>
      </w:r>
      <w:r w:rsidR="00724E41">
        <w:rPr>
          <w:rFonts w:cs="Arial"/>
          <w:szCs w:val="30"/>
        </w:rPr>
        <w:t xml:space="preserve">a </w:t>
      </w:r>
      <w:r w:rsidRPr="0057187F">
        <w:rPr>
          <w:rFonts w:cs="Arial"/>
          <w:szCs w:val="30"/>
        </w:rPr>
        <w:t>p</w:t>
      </w:r>
      <w:r w:rsidR="00724E41">
        <w:rPr>
          <w:rFonts w:cs="Arial"/>
          <w:szCs w:val="30"/>
        </w:rPr>
        <w:t>rzykład</w:t>
      </w:r>
      <w:r w:rsidRPr="0057187F">
        <w:rPr>
          <w:rFonts w:cs="Arial"/>
          <w:szCs w:val="30"/>
        </w:rPr>
        <w:t xml:space="preserve">: ludzie poruszający się przy pomocy sprzętu wspomagającego (kul, lasek, balkoników, protez, wózków), z uszkodzonym narządem słuchu, wzroku, z trudnościami manualnymi i poznawczymi (na przykład po udarze, cierpiący na chorobę Alzheimera), </w:t>
      </w:r>
      <w:r w:rsidRPr="0057187F">
        <w:rPr>
          <w:rFonts w:cs="Arial"/>
        </w:rPr>
        <w:t xml:space="preserve">kobiety w ciąży, osoby z wózkiem dziecięcym, z ciężkim bagażem oraz słabsze fizycznie </w:t>
      </w:r>
      <w:r w:rsidR="00590863">
        <w:rPr>
          <w:rFonts w:cs="Arial"/>
        </w:rPr>
        <w:br/>
      </w:r>
      <w:r w:rsidRPr="0057187F">
        <w:rPr>
          <w:rFonts w:cs="Arial"/>
        </w:rPr>
        <w:t xml:space="preserve">i napotykające trudności w poruszaniu się (na przykład w wyniku urazu lub choroby). </w:t>
      </w:r>
      <w:r w:rsidRPr="0057187F">
        <w:rPr>
          <w:rFonts w:eastAsia="Calibri" w:cs="Arial"/>
          <w:lang w:eastAsia="en-US"/>
        </w:rPr>
        <w:t>Budowanie przyjaznego i dostępnego środowiska zewnętrznego może więc przynieść korzyści (również ekonomiczne) wszystkim, nie tylko osobom z niepełnosprawnościami.</w:t>
      </w:r>
    </w:p>
    <w:p w14:paraId="00D35B12" w14:textId="01B54358" w:rsidR="00A54B73" w:rsidRPr="00A54B73" w:rsidRDefault="00A54B73" w:rsidP="00A54B73">
      <w:pPr>
        <w:numPr>
          <w:ilvl w:val="0"/>
          <w:numId w:val="6"/>
        </w:numPr>
        <w:spacing w:before="120" w:after="120" w:line="360" w:lineRule="auto"/>
        <w:rPr>
          <w:rFonts w:eastAsia="Calibri" w:cs="Arial"/>
          <w:i/>
          <w:lang w:eastAsia="en-US"/>
        </w:rPr>
      </w:pPr>
      <w:r w:rsidRPr="00537277">
        <w:rPr>
          <w:rFonts w:cs="Arial"/>
          <w:iCs/>
        </w:rPr>
        <w:t>Jak pokazują wyniki badania</w:t>
      </w:r>
      <w:r w:rsidR="00537277" w:rsidRPr="003A5A19">
        <w:rPr>
          <w:rStyle w:val="Odwoanieprzypisudolnego"/>
          <w:shd w:val="clear" w:color="auto" w:fill="FFFFFF"/>
        </w:rPr>
        <w:footnoteReference w:id="9"/>
      </w:r>
      <w:r w:rsidRPr="00537277">
        <w:rPr>
          <w:rFonts w:cs="Arial"/>
          <w:iCs/>
        </w:rPr>
        <w:t xml:space="preserve"> przeprowadzonego przez Rzecznika Praw Obywatelskich</w:t>
      </w:r>
      <w:r w:rsidR="00537277">
        <w:rPr>
          <w:rFonts w:cs="Arial"/>
          <w:iCs/>
        </w:rPr>
        <w:t>,</w:t>
      </w:r>
      <w:r w:rsidRPr="00537277">
        <w:rPr>
          <w:rFonts w:cs="Arial"/>
          <w:iCs/>
        </w:rPr>
        <w:t xml:space="preserve"> </w:t>
      </w:r>
      <w:r w:rsidRPr="00DA067E">
        <w:rPr>
          <w:rFonts w:cs="Arial"/>
          <w:shd w:val="clear" w:color="auto" w:fill="FFFFFF"/>
        </w:rPr>
        <w:t xml:space="preserve">około połowa badanych, jako najczęściej występującą </w:t>
      </w:r>
      <w:r w:rsidR="00590863">
        <w:rPr>
          <w:rFonts w:cs="Arial"/>
          <w:shd w:val="clear" w:color="auto" w:fill="FFFFFF"/>
        </w:rPr>
        <w:br/>
      </w:r>
      <w:r w:rsidRPr="00DA067E">
        <w:rPr>
          <w:rFonts w:cs="Arial"/>
          <w:shd w:val="clear" w:color="auto" w:fill="FFFFFF"/>
        </w:rPr>
        <w:t xml:space="preserve">w Polsce w 2021 wymieniała dyskryminację ze względu na rasę (49%) oraz orientację seksualną (47%). Ranking ILGA Europe zaś pokazuje, że w 2022 roku Polska zajęła 43 </w:t>
      </w:r>
      <w:r w:rsidRPr="00DA067E">
        <w:rPr>
          <w:rFonts w:eastAsia="Calibri" w:cs="Arial"/>
          <w:lang w:eastAsia="en-US"/>
        </w:rPr>
        <w:t xml:space="preserve">miejsce na 49 w Europie w kontekście </w:t>
      </w:r>
      <w:r w:rsidR="00537277">
        <w:rPr>
          <w:rFonts w:eastAsia="Calibri" w:cs="Arial"/>
          <w:lang w:eastAsia="en-US"/>
        </w:rPr>
        <w:t xml:space="preserve">oceny </w:t>
      </w:r>
      <w:r w:rsidRPr="00DA067E">
        <w:rPr>
          <w:rFonts w:eastAsia="Calibri" w:cs="Arial"/>
          <w:lang w:eastAsia="en-US"/>
        </w:rPr>
        <w:t xml:space="preserve">sytuacji osób </w:t>
      </w:r>
      <w:proofErr w:type="spellStart"/>
      <w:r w:rsidRPr="00DA067E">
        <w:rPr>
          <w:rFonts w:eastAsia="Calibri" w:cs="Arial"/>
          <w:lang w:eastAsia="en-US"/>
        </w:rPr>
        <w:t>nieheteronormatywnych</w:t>
      </w:r>
      <w:proofErr w:type="spellEnd"/>
      <w:r w:rsidRPr="00DA067E">
        <w:rPr>
          <w:rFonts w:eastAsia="Calibri" w:cs="Arial"/>
          <w:lang w:eastAsia="en-US"/>
        </w:rPr>
        <w:t>.</w:t>
      </w:r>
      <w:r>
        <w:rPr>
          <w:rFonts w:cs="Arial"/>
          <w:color w:val="212529"/>
          <w:shd w:val="clear" w:color="auto" w:fill="FFFFFF"/>
        </w:rPr>
        <w:t xml:space="preserve"> </w:t>
      </w:r>
    </w:p>
    <w:p w14:paraId="1BE46A39" w14:textId="44ECE28A" w:rsidR="001D2311" w:rsidRPr="00DA067E" w:rsidRDefault="001D2311" w:rsidP="0057187F">
      <w:pPr>
        <w:numPr>
          <w:ilvl w:val="0"/>
          <w:numId w:val="6"/>
        </w:numPr>
        <w:spacing w:before="120" w:after="120" w:line="360" w:lineRule="auto"/>
        <w:rPr>
          <w:rFonts w:eastAsia="Calibri" w:cs="Arial"/>
          <w:i/>
          <w:lang w:eastAsia="en-US"/>
        </w:rPr>
      </w:pPr>
      <w:r w:rsidRPr="0057187F">
        <w:rPr>
          <w:rFonts w:cs="Arial"/>
          <w:szCs w:val="30"/>
        </w:rPr>
        <w:t xml:space="preserve">Polska jest </w:t>
      </w:r>
      <w:r w:rsidR="00537277">
        <w:rPr>
          <w:rFonts w:cs="Arial"/>
          <w:szCs w:val="30"/>
        </w:rPr>
        <w:t xml:space="preserve">też </w:t>
      </w:r>
      <w:r w:rsidRPr="0057187F">
        <w:rPr>
          <w:rFonts w:cs="Arial"/>
          <w:szCs w:val="30"/>
        </w:rPr>
        <w:t xml:space="preserve">najszybciej starzejącym się państwem Unii Europejskiej. Populacja osób powyżej 60. roku życia stanowi obecnie 1/4 mieszkańców Polski, a w 2050 roku będzie to 1/3 wszystkich mieszkańców. Z czasem osoby starsze będą stanowiły coraz liczniejszą grupę, w znacznej części wymagającą opieki i wsparcia w samodzielnym funkcjonowaniu. Wraz z wydłużaniem się długości życia, zauważalny jest wzrost liczby osób </w:t>
      </w:r>
      <w:r w:rsidR="00590863">
        <w:rPr>
          <w:rFonts w:cs="Arial"/>
          <w:szCs w:val="30"/>
        </w:rPr>
        <w:br/>
      </w:r>
      <w:r w:rsidRPr="0057187F">
        <w:rPr>
          <w:rFonts w:cs="Arial"/>
          <w:szCs w:val="30"/>
        </w:rPr>
        <w:t>z niepełnosprawnościami, wynikającymi między innymi z osłabienia funkcji organizmu</w:t>
      </w:r>
      <w:r w:rsidR="0057071A">
        <w:rPr>
          <w:rStyle w:val="Odwoanieprzypisudolnego"/>
          <w:szCs w:val="30"/>
        </w:rPr>
        <w:footnoteReference w:id="10"/>
      </w:r>
      <w:r w:rsidRPr="0057187F">
        <w:rPr>
          <w:rFonts w:cs="Arial"/>
          <w:szCs w:val="30"/>
        </w:rPr>
        <w:t>.</w:t>
      </w:r>
    </w:p>
    <w:p w14:paraId="24CBC73A" w14:textId="589935EB" w:rsidR="001D2311" w:rsidRPr="00DA067E" w:rsidRDefault="001D2311" w:rsidP="0057187F">
      <w:pPr>
        <w:numPr>
          <w:ilvl w:val="0"/>
          <w:numId w:val="6"/>
        </w:numPr>
        <w:spacing w:before="120" w:after="120" w:line="360" w:lineRule="auto"/>
        <w:rPr>
          <w:rFonts w:eastAsia="Calibri" w:cs="Arial"/>
          <w:i/>
          <w:lang w:eastAsia="en-US"/>
        </w:rPr>
      </w:pPr>
      <w:r w:rsidRPr="0057187F">
        <w:rPr>
          <w:rFonts w:cs="Arial"/>
          <w:szCs w:val="30"/>
        </w:rPr>
        <w:t xml:space="preserve">Poziom dostosowania środowiska zurbanizowanego do potrzeb osób z niepełnosprawnościami obrazują różne wyniki badań, prowadzonych zarówno </w:t>
      </w:r>
      <w:r w:rsidRPr="0057187F">
        <w:rPr>
          <w:rFonts w:cs="Arial"/>
          <w:szCs w:val="30"/>
        </w:rPr>
        <w:lastRenderedPageBreak/>
        <w:t xml:space="preserve">przez instytucje publiczne, jak i organizacje społeczne. Przykładowo, kontrola NIK pod kątem dostosowania dworców kolejowych i peronów dla osób </w:t>
      </w:r>
      <w:r w:rsidR="00590863">
        <w:rPr>
          <w:rFonts w:cs="Arial"/>
          <w:szCs w:val="30"/>
        </w:rPr>
        <w:br/>
      </w:r>
      <w:r w:rsidRPr="0057187F">
        <w:rPr>
          <w:rFonts w:cs="Arial"/>
          <w:szCs w:val="30"/>
        </w:rPr>
        <w:t xml:space="preserve">z niepełnosprawnościami wskazała, że mimo przeprowadzonej modernizacji, wciąż nie zostały uwzględnione wszystkie potrzeby tych osób. Kontroli poddano 7 dworców z całej Polski. 55% stwierdzonych przeszkód stanowiły bariery dla osób z niepełnosprawnością wzroku np. brak </w:t>
      </w:r>
      <w:r w:rsidR="003954C2">
        <w:rPr>
          <w:rFonts w:cs="Arial"/>
          <w:szCs w:val="30"/>
        </w:rPr>
        <w:t>linii prowadzących</w:t>
      </w:r>
      <w:r w:rsidRPr="0057187F">
        <w:rPr>
          <w:rFonts w:cs="Arial"/>
          <w:szCs w:val="30"/>
        </w:rPr>
        <w:t xml:space="preserve">, wyposażenia wind w system informacji głosowej, wyposażenia toalet dla osób z niepełnosprawnością w oznaczenia alfabetem Braille’a. Utrudnienia dla osób z niepełnosprawnością ruchową stanowiły 39% stwierdzonych przeszkód. </w:t>
      </w:r>
      <w:r w:rsidR="00590863">
        <w:rPr>
          <w:rFonts w:cs="Arial"/>
          <w:szCs w:val="30"/>
        </w:rPr>
        <w:br/>
      </w:r>
      <w:r w:rsidRPr="0057187F">
        <w:rPr>
          <w:rFonts w:cs="Arial"/>
          <w:szCs w:val="30"/>
        </w:rPr>
        <w:t>Były to np.</w:t>
      </w:r>
      <w:r w:rsidRPr="0057187F">
        <w:rPr>
          <w:rFonts w:cs="Arial"/>
        </w:rPr>
        <w:t xml:space="preserve"> </w:t>
      </w:r>
      <w:r w:rsidRPr="0057187F">
        <w:rPr>
          <w:rFonts w:cs="Arial"/>
          <w:szCs w:val="30"/>
        </w:rPr>
        <w:t xml:space="preserve">brak lub niedokładne oznakowanie tras dojścia do poszczególnych stref dworca kolejowego, brak wyposażenia schodów w obustronne podwójne poręcze oraz żółte pasy ostrzegawcze, umieszczania urządzeń i informacji zbyt wysoko, co utrudniało ich wykorzystanie przez osoby poruszające się na wózku. Natomiast 6% przypadków dotyczyło utrudnień dla osób z niepełnosprawnością słuchu – brak zainstalowanych, właściwie </w:t>
      </w:r>
      <w:r w:rsidR="00750B91">
        <w:rPr>
          <w:rFonts w:cs="Arial"/>
          <w:szCs w:val="30"/>
        </w:rPr>
        <w:t>o</w:t>
      </w:r>
      <w:r w:rsidRPr="0057187F">
        <w:rPr>
          <w:rFonts w:cs="Arial"/>
          <w:szCs w:val="30"/>
        </w:rPr>
        <w:t>znakowanych lub poprawnie działających pętli indukcyjnych. Przypadki takie stwierdzono na czterech dworcach kolejowych</w:t>
      </w:r>
      <w:r w:rsidRPr="0057187F">
        <w:rPr>
          <w:rFonts w:cs="Arial"/>
          <w:szCs w:val="30"/>
          <w:vertAlign w:val="superscript"/>
        </w:rPr>
        <w:footnoteReference w:id="11"/>
      </w:r>
      <w:r w:rsidRPr="0057187F">
        <w:rPr>
          <w:rFonts w:cs="Arial"/>
          <w:szCs w:val="30"/>
        </w:rPr>
        <w:t>. W związku z tym kierunkiem działań podmiotów krajowych, samorządowych, gospodarczych – w tym podmiotów wdrażających działania współfinansowane ze środków EFS+, EFRR, FS i FST – powinno być faktyczne zapewnienie dostępności w ramach efektów wdrażania polityki spójności, poprzez szerokie wykorzystywanie uniwersalnego projektowania lub racjonalnych usprawnień.</w:t>
      </w:r>
    </w:p>
    <w:p w14:paraId="4D5F2594" w14:textId="08B657C2" w:rsidR="00CC4402" w:rsidRPr="00CC4402" w:rsidRDefault="00CC4402" w:rsidP="00CC4402">
      <w:pPr>
        <w:numPr>
          <w:ilvl w:val="0"/>
          <w:numId w:val="6"/>
        </w:numPr>
        <w:spacing w:before="120" w:after="120" w:line="360" w:lineRule="auto"/>
        <w:rPr>
          <w:rFonts w:eastAsia="Calibri" w:cs="Arial"/>
          <w:iCs/>
          <w:lang w:eastAsia="en-US"/>
        </w:rPr>
      </w:pPr>
      <w:r>
        <w:rPr>
          <w:rFonts w:eastAsia="Calibri" w:cs="Arial"/>
          <w:iCs/>
          <w:lang w:eastAsia="en-US"/>
        </w:rPr>
        <w:t>Na podstawie danych zawartych w R</w:t>
      </w:r>
      <w:r w:rsidRPr="00CC4402">
        <w:rPr>
          <w:rFonts w:eastAsia="Calibri" w:cs="Arial"/>
          <w:iCs/>
          <w:lang w:eastAsia="en-US"/>
        </w:rPr>
        <w:t>apor</w:t>
      </w:r>
      <w:r>
        <w:rPr>
          <w:rFonts w:eastAsia="Calibri" w:cs="Arial"/>
          <w:iCs/>
          <w:lang w:eastAsia="en-US"/>
        </w:rPr>
        <w:t>cie</w:t>
      </w:r>
      <w:r w:rsidRPr="00CC4402">
        <w:rPr>
          <w:rFonts w:eastAsia="Calibri" w:cs="Arial"/>
          <w:iCs/>
          <w:lang w:eastAsia="en-US"/>
        </w:rPr>
        <w:t xml:space="preserve"> stanie zapewniania dostępności osobom ze szczególnymi potrzebami</w:t>
      </w:r>
      <w:r>
        <w:rPr>
          <w:rFonts w:eastAsia="Calibri" w:cs="Arial"/>
          <w:iCs/>
          <w:lang w:eastAsia="en-US"/>
        </w:rPr>
        <w:t xml:space="preserve"> </w:t>
      </w:r>
      <w:r w:rsidRPr="00CC4402">
        <w:rPr>
          <w:rFonts w:eastAsia="Calibri" w:cs="Arial"/>
          <w:iCs/>
          <w:lang w:eastAsia="en-US"/>
        </w:rPr>
        <w:t>przez podmioty publiczne w Polsce</w:t>
      </w:r>
      <w:r>
        <w:rPr>
          <w:rFonts w:eastAsia="Calibri" w:cs="Arial"/>
          <w:iCs/>
          <w:lang w:eastAsia="en-US"/>
        </w:rPr>
        <w:t xml:space="preserve"> można stwierdzić, że</w:t>
      </w:r>
      <w:r w:rsidRPr="00DA067E">
        <w:rPr>
          <w:rFonts w:eastAsia="Calibri" w:cs="Arial"/>
          <w:iCs/>
          <w:lang w:eastAsia="en-US"/>
        </w:rPr>
        <w:t xml:space="preserve"> najlepiej prezentuje się poziom dostępności cyfrowej (średnia wysokość wskaźnika dostępności cyfrowej dla całego kraju to 0,49)</w:t>
      </w:r>
      <w:r w:rsidR="00043677">
        <w:rPr>
          <w:rFonts w:eastAsia="Calibri" w:cs="Arial"/>
          <w:iCs/>
          <w:lang w:eastAsia="en-US"/>
        </w:rPr>
        <w:t>.</w:t>
      </w:r>
      <w:r w:rsidRPr="00DA067E">
        <w:rPr>
          <w:rFonts w:eastAsia="Calibri" w:cs="Arial"/>
          <w:iCs/>
          <w:lang w:eastAsia="en-US"/>
        </w:rPr>
        <w:t xml:space="preserve"> </w:t>
      </w:r>
      <w:r w:rsidR="00043677">
        <w:rPr>
          <w:rFonts w:eastAsia="Calibri" w:cs="Arial"/>
          <w:iCs/>
          <w:lang w:eastAsia="en-US"/>
        </w:rPr>
        <w:t>M</w:t>
      </w:r>
      <w:r w:rsidRPr="00DA067E">
        <w:rPr>
          <w:rFonts w:eastAsia="Calibri" w:cs="Arial"/>
          <w:iCs/>
          <w:lang w:eastAsia="en-US"/>
        </w:rPr>
        <w:t>ożna</w:t>
      </w:r>
      <w:r w:rsidR="00043677">
        <w:rPr>
          <w:rFonts w:eastAsia="Calibri" w:cs="Arial"/>
          <w:iCs/>
          <w:lang w:eastAsia="en-US"/>
        </w:rPr>
        <w:t xml:space="preserve"> to</w:t>
      </w:r>
      <w:r w:rsidRPr="00DA067E">
        <w:rPr>
          <w:rFonts w:eastAsia="Calibri" w:cs="Arial"/>
          <w:iCs/>
          <w:lang w:eastAsia="en-US"/>
        </w:rPr>
        <w:t xml:space="preserve"> tłumaczyć faktem, iż dostępność cyfrowa to obszar najlepiej </w:t>
      </w:r>
      <w:r w:rsidRPr="00DA067E">
        <w:rPr>
          <w:rFonts w:eastAsia="Calibri" w:cs="Arial"/>
          <w:iCs/>
          <w:lang w:eastAsia="en-US"/>
        </w:rPr>
        <w:lastRenderedPageBreak/>
        <w:t xml:space="preserve">uregulowany, który poza </w:t>
      </w:r>
      <w:r>
        <w:rPr>
          <w:rFonts w:eastAsia="Calibri" w:cs="Arial"/>
          <w:iCs/>
          <w:lang w:eastAsia="en-US"/>
        </w:rPr>
        <w:t>ustawą o zapewnianiu dostępności</w:t>
      </w:r>
      <w:r w:rsidRPr="00DA067E">
        <w:rPr>
          <w:rFonts w:eastAsia="Calibri" w:cs="Arial"/>
          <w:iCs/>
          <w:lang w:eastAsia="en-US"/>
        </w:rPr>
        <w:t>, jest również uregulowany</w:t>
      </w:r>
      <w:r w:rsidRPr="00CC4402">
        <w:rPr>
          <w:rFonts w:eastAsia="Calibri" w:cs="Arial"/>
          <w:iCs/>
          <w:lang w:eastAsia="en-US"/>
        </w:rPr>
        <w:t xml:space="preserve"> </w:t>
      </w:r>
      <w:r w:rsidRPr="00DA067E">
        <w:rPr>
          <w:rFonts w:eastAsia="Calibri" w:cs="Arial"/>
          <w:iCs/>
          <w:lang w:eastAsia="en-US"/>
        </w:rPr>
        <w:t xml:space="preserve">szczegółowymi przepisami </w:t>
      </w:r>
      <w:r>
        <w:rPr>
          <w:rFonts w:eastAsia="Calibri" w:cs="Arial"/>
          <w:iCs/>
          <w:lang w:eastAsia="en-US"/>
        </w:rPr>
        <w:t>ustawy o zapewnianiu dostępności cyfrowej</w:t>
      </w:r>
      <w:r w:rsidRPr="00DA067E">
        <w:rPr>
          <w:rFonts w:eastAsia="Calibri" w:cs="Arial"/>
          <w:iCs/>
          <w:lang w:eastAsia="en-US"/>
        </w:rPr>
        <w:t xml:space="preserve">. Warto zaznaczyć, że wprowadzenie zmian w zakresie dostępności cyfrowej nie wymaga tak dużych nakładów jak np. w zakresie dostępności architektonicznej. Często wystarczy zatrudnienie lub zlecenie tego zadania specjalistom w zakresie dostępności cyfrowej w celu przebudowy architektury strony internetowej czy serwisu. Później kluczowe jest monitorowanie umieszczanych treści tak, aby były zgodne z wymaganiami określonymi </w:t>
      </w:r>
      <w:r w:rsidR="00750B91">
        <w:rPr>
          <w:rFonts w:eastAsia="Calibri" w:cs="Arial"/>
          <w:iCs/>
          <w:lang w:eastAsia="en-US"/>
        </w:rPr>
        <w:br/>
      </w:r>
      <w:r w:rsidRPr="00DA067E">
        <w:rPr>
          <w:rFonts w:eastAsia="Calibri" w:cs="Arial"/>
          <w:iCs/>
          <w:lang w:eastAsia="en-US"/>
        </w:rPr>
        <w:t xml:space="preserve">w </w:t>
      </w:r>
      <w:r>
        <w:rPr>
          <w:rFonts w:eastAsia="Calibri" w:cs="Arial"/>
          <w:iCs/>
          <w:lang w:eastAsia="en-US"/>
        </w:rPr>
        <w:t>ustawie o zapewnianiu dostępności cyfrowej</w:t>
      </w:r>
      <w:r w:rsidRPr="00DA067E">
        <w:rPr>
          <w:rFonts w:eastAsia="Calibri" w:cs="Arial"/>
          <w:iCs/>
          <w:lang w:eastAsia="en-US"/>
        </w:rPr>
        <w:t>.</w:t>
      </w:r>
    </w:p>
    <w:p w14:paraId="1F2841FE" w14:textId="6576D80E" w:rsidR="00CC4402" w:rsidRDefault="00CC4402" w:rsidP="00CC4402">
      <w:pPr>
        <w:spacing w:before="120" w:after="120" w:line="360" w:lineRule="auto"/>
        <w:ind w:left="720"/>
        <w:rPr>
          <w:rFonts w:eastAsia="Calibri" w:cs="Arial"/>
          <w:iCs/>
          <w:lang w:eastAsia="en-US"/>
        </w:rPr>
      </w:pPr>
      <w:r w:rsidRPr="00CC4402">
        <w:rPr>
          <w:rFonts w:eastAsia="Calibri" w:cs="Arial"/>
          <w:iCs/>
          <w:lang w:eastAsia="en-US"/>
        </w:rPr>
        <w:t>Średni wskaźnik dostępności architektonicznej dla całego kraju wyniósł 0,43. Wyniki badania pokazały, że średnio mniej niż 30% podmiotów publicznych zapewniało wolne od barier poziome i pionowe przestrzenie komunikacyjne, dostęp do wszystkich pomieszczeń, z wyłączeniem pomieszczeń technicznych czy informację na temat rozkładu pomieszczeń w budynkach. Lepsze wyniki osiągnięto w zakresie zapewnia w budynku możliwości ewakuacji osób ze szczególnymi potrzebami czy umożliwienia wstępu z psem asystującym.</w:t>
      </w:r>
    </w:p>
    <w:p w14:paraId="1B4B7737" w14:textId="454E0C13" w:rsidR="00CC4402" w:rsidRPr="00DA067E" w:rsidRDefault="00CC4402" w:rsidP="00DA067E">
      <w:pPr>
        <w:spacing w:before="120" w:after="120" w:line="360" w:lineRule="auto"/>
        <w:ind w:left="720"/>
        <w:rPr>
          <w:rFonts w:eastAsia="Calibri" w:cs="Arial"/>
          <w:iCs/>
          <w:lang w:eastAsia="en-US"/>
        </w:rPr>
      </w:pPr>
      <w:r w:rsidRPr="00CC4402">
        <w:rPr>
          <w:rFonts w:eastAsia="Calibri" w:cs="Arial"/>
          <w:iCs/>
          <w:lang w:eastAsia="en-US"/>
        </w:rPr>
        <w:t>Badanie pokazało też, że największe problemy podmioty publiczne mają z zapewnieniem skutecznej informacji i komunikacji dla osób ze szczególnymi potrzebami. Średni wskaźnik dostępności informacyjno-komunikacyjnej dla całego kraju wyniósł 0,31. Przyczyną takiego stanu jest między innymi ciągle niewystarczający (choć coraz wyższy) poziom wiedzy i świadomości kwestii dostępności wśród pracowników podmiotów publicznych. O ile powszechne są podstawowe formy komunikacji takie jak telefon czy e-mail, o tyle specyficzne formy skierowane do osób z dysfunkcjami wzroku, słuchu lub mowy, nadal są bardzo mało popularne. Po części wynika to także z braku doświadczeń podmiotów publicznych w tym zakresie i sygnalizowania im takich potrzeb.</w:t>
      </w:r>
    </w:p>
    <w:p w14:paraId="3ACAD512" w14:textId="0C51932F" w:rsidR="00BA2882" w:rsidRDefault="00BA2882" w:rsidP="00BA2882">
      <w:pPr>
        <w:numPr>
          <w:ilvl w:val="0"/>
          <w:numId w:val="6"/>
        </w:numPr>
        <w:spacing w:before="120" w:after="120" w:line="360" w:lineRule="auto"/>
        <w:rPr>
          <w:rFonts w:eastAsia="Calibri" w:cs="Arial"/>
          <w:iCs/>
          <w:lang w:eastAsia="en-US"/>
        </w:rPr>
      </w:pPr>
      <w:r w:rsidRPr="00DA067E">
        <w:rPr>
          <w:rFonts w:eastAsia="Calibri" w:cs="Arial"/>
          <w:iCs/>
          <w:lang w:eastAsia="en-US"/>
        </w:rPr>
        <w:t xml:space="preserve">Polskę zamieszkują przedstawiciele 13 mniejszości narodowych i etnicznych oraz grupy posługującej się językiem regionalnym – Kaszubów. Sytuacja poszczególnych mniejszości narodowych i etnicznych nie odbiega od średniej </w:t>
      </w:r>
      <w:r w:rsidRPr="00DA067E">
        <w:rPr>
          <w:rFonts w:eastAsia="Calibri" w:cs="Arial"/>
          <w:iCs/>
          <w:lang w:eastAsia="en-US"/>
        </w:rPr>
        <w:lastRenderedPageBreak/>
        <w:t>ogólnopolskiej, wyjątkiem jest mniejszość romska</w:t>
      </w:r>
      <w:r>
        <w:rPr>
          <w:rStyle w:val="Odwoanieprzypisudolnego"/>
          <w:rFonts w:eastAsia="Calibri"/>
          <w:iCs/>
          <w:lang w:eastAsia="en-US"/>
        </w:rPr>
        <w:footnoteReference w:id="12"/>
      </w:r>
      <w:r w:rsidR="00043677">
        <w:rPr>
          <w:rFonts w:eastAsia="Calibri" w:cs="Arial"/>
          <w:iCs/>
          <w:lang w:eastAsia="en-US"/>
        </w:rPr>
        <w:t>.</w:t>
      </w:r>
      <w:r w:rsidRPr="00DA067E">
        <w:rPr>
          <w:rFonts w:eastAsia="Calibri" w:cs="Arial"/>
          <w:iCs/>
          <w:lang w:eastAsia="en-US"/>
        </w:rPr>
        <w:t xml:space="preserve"> Zgodnie z danymi z przeprowadzonego w 2011 r. Narodowego spisu powszechnego ludności </w:t>
      </w:r>
      <w:r w:rsidR="00750B91">
        <w:rPr>
          <w:rFonts w:eastAsia="Calibri" w:cs="Arial"/>
          <w:iCs/>
          <w:lang w:eastAsia="en-US"/>
        </w:rPr>
        <w:br/>
      </w:r>
      <w:r w:rsidRPr="00DA067E">
        <w:rPr>
          <w:rFonts w:eastAsia="Calibri" w:cs="Arial"/>
          <w:iCs/>
          <w:lang w:eastAsia="en-US"/>
        </w:rPr>
        <w:t>i mieszkań należy do niej 16 725 obywateli polskich</w:t>
      </w:r>
      <w:r>
        <w:rPr>
          <w:rStyle w:val="Odwoanieprzypisudolnego"/>
          <w:rFonts w:eastAsia="Calibri"/>
          <w:iCs/>
          <w:lang w:eastAsia="en-US"/>
        </w:rPr>
        <w:footnoteReference w:id="13"/>
      </w:r>
      <w:r w:rsidR="00043677">
        <w:rPr>
          <w:rFonts w:eastAsia="Calibri" w:cs="Arial"/>
          <w:iCs/>
          <w:lang w:eastAsia="en-US"/>
        </w:rPr>
        <w:t>.</w:t>
      </w:r>
      <w:r w:rsidRPr="00DA067E">
        <w:rPr>
          <w:rFonts w:eastAsia="Calibri" w:cs="Arial"/>
          <w:iCs/>
          <w:lang w:eastAsia="en-US"/>
        </w:rPr>
        <w:t xml:space="preserve"> Romowie stanowią największą mniejszość etniczną w Unii Europejskiej. Jednak kulturowa odmienność tej społeczności oraz wzory kulturowe, powodują, że Romowie nie chcą rezygnować ze swych obyczajów i wzorów życia rodzinnego. </w:t>
      </w:r>
      <w:r w:rsidR="00750B91">
        <w:rPr>
          <w:rFonts w:eastAsia="Calibri" w:cs="Arial"/>
          <w:iCs/>
          <w:lang w:eastAsia="en-US"/>
        </w:rPr>
        <w:br/>
      </w:r>
      <w:r w:rsidRPr="00DA067E">
        <w:rPr>
          <w:rFonts w:eastAsia="Calibri" w:cs="Arial"/>
          <w:iCs/>
          <w:lang w:eastAsia="en-US"/>
        </w:rPr>
        <w:t>Z tego powodu pojawiają się problemy w integracji tej grupy z lokalną społecznością. Celem działań w ramach polityki spójności jest ochrona tożsamości i autonomii kulturowej mniejszości narodowych i etnicznych. Jednocześnie tworząc możliwości równouprawnienia z grupami dominującymi w danym państwie oraz zapewniając mniejszościom aktywny i równoprawny udziału w życiu społecznym, kulturalnym i gospodarczym</w:t>
      </w:r>
      <w:r>
        <w:rPr>
          <w:rStyle w:val="Odwoanieprzypisudolnego"/>
          <w:rFonts w:eastAsia="Calibri"/>
          <w:iCs/>
          <w:lang w:eastAsia="en-US"/>
        </w:rPr>
        <w:footnoteReference w:id="14"/>
      </w:r>
      <w:r w:rsidR="00043677">
        <w:rPr>
          <w:rFonts w:eastAsia="Calibri" w:cs="Arial"/>
          <w:iCs/>
          <w:lang w:eastAsia="en-US"/>
        </w:rPr>
        <w:t>.</w:t>
      </w:r>
      <w:r w:rsidRPr="00DA067E">
        <w:rPr>
          <w:rFonts w:eastAsia="Calibri" w:cs="Arial"/>
          <w:iCs/>
          <w:lang w:eastAsia="en-US"/>
        </w:rPr>
        <w:t xml:space="preserve"> </w:t>
      </w:r>
    </w:p>
    <w:p w14:paraId="45C21BD5" w14:textId="0F27A701" w:rsidR="00043677" w:rsidRDefault="00537277" w:rsidP="00043677">
      <w:pPr>
        <w:numPr>
          <w:ilvl w:val="0"/>
          <w:numId w:val="6"/>
        </w:numPr>
        <w:spacing w:before="120" w:after="120" w:line="360" w:lineRule="auto"/>
        <w:rPr>
          <w:rFonts w:eastAsia="Calibri" w:cs="Arial"/>
          <w:iCs/>
          <w:lang w:eastAsia="en-US"/>
        </w:rPr>
      </w:pPr>
      <w:r w:rsidRPr="00B46CBC">
        <w:rPr>
          <w:rFonts w:eastAsia="Calibri" w:cs="Arial"/>
          <w:iCs/>
          <w:lang w:eastAsia="en-US"/>
        </w:rPr>
        <w:t>G</w:t>
      </w:r>
      <w:r w:rsidR="00BA2882" w:rsidRPr="00DA067E">
        <w:rPr>
          <w:rFonts w:eastAsia="Calibri" w:cs="Arial"/>
          <w:iCs/>
          <w:lang w:eastAsia="en-US"/>
        </w:rPr>
        <w:t xml:space="preserve">rupą na którą należy zwrócić szczególną uwagę </w:t>
      </w:r>
      <w:r w:rsidRPr="00B46CBC">
        <w:rPr>
          <w:rFonts w:eastAsia="Calibri" w:cs="Arial"/>
          <w:iCs/>
          <w:lang w:eastAsia="en-US"/>
        </w:rPr>
        <w:t xml:space="preserve">w ostatnim czasie </w:t>
      </w:r>
      <w:r w:rsidR="00BA2882" w:rsidRPr="00DA067E">
        <w:rPr>
          <w:rFonts w:eastAsia="Calibri" w:cs="Arial"/>
          <w:iCs/>
          <w:lang w:eastAsia="en-US"/>
        </w:rPr>
        <w:t xml:space="preserve">są </w:t>
      </w:r>
      <w:r w:rsidRPr="00B46CBC">
        <w:rPr>
          <w:rFonts w:eastAsia="Calibri" w:cs="Arial"/>
          <w:iCs/>
          <w:lang w:eastAsia="en-US"/>
        </w:rPr>
        <w:t xml:space="preserve">osoby przybywające do Polski z terytorium </w:t>
      </w:r>
      <w:r w:rsidR="00BA2882" w:rsidRPr="00DA067E">
        <w:rPr>
          <w:rFonts w:eastAsia="Calibri" w:cs="Arial"/>
          <w:iCs/>
          <w:lang w:eastAsia="en-US"/>
        </w:rPr>
        <w:t xml:space="preserve">Ukrainy. Są to przede wszystkim kobiety, z których ponad 60% przyjechało razem dziećmi. </w:t>
      </w:r>
      <w:r w:rsidR="00B46CBC" w:rsidRPr="00B46CBC">
        <w:rPr>
          <w:rFonts w:eastAsia="Calibri" w:cs="Arial"/>
          <w:iCs/>
          <w:lang w:eastAsia="en-US"/>
        </w:rPr>
        <w:t xml:space="preserve">Około </w:t>
      </w:r>
      <w:r w:rsidR="00BA2882" w:rsidRPr="00DA067E">
        <w:rPr>
          <w:rFonts w:eastAsia="Calibri" w:cs="Arial"/>
          <w:iCs/>
          <w:lang w:eastAsia="en-US"/>
        </w:rPr>
        <w:t xml:space="preserve">50% </w:t>
      </w:r>
      <w:r w:rsidR="00B46CBC" w:rsidRPr="00B46CBC">
        <w:rPr>
          <w:rFonts w:eastAsia="Calibri" w:cs="Arial"/>
          <w:iCs/>
          <w:lang w:eastAsia="en-US"/>
        </w:rPr>
        <w:t xml:space="preserve">osób przybywających z terenu Ukrainy </w:t>
      </w:r>
      <w:r w:rsidR="00BA2882" w:rsidRPr="00DA067E">
        <w:rPr>
          <w:rFonts w:eastAsia="Calibri" w:cs="Arial"/>
          <w:iCs/>
          <w:lang w:eastAsia="en-US"/>
        </w:rPr>
        <w:t xml:space="preserve">posiada wyższe wykształcenie, co przewyższa udział osób z wyższym wykształceniem w całym społeczeństwie ukraińskim. </w:t>
      </w:r>
    </w:p>
    <w:p w14:paraId="1BEF87FB" w14:textId="747F6816" w:rsidR="00BA2882" w:rsidRPr="00043677" w:rsidRDefault="00043677" w:rsidP="004F5327">
      <w:pPr>
        <w:spacing w:before="120" w:after="120" w:line="360" w:lineRule="auto"/>
        <w:ind w:left="720"/>
        <w:rPr>
          <w:rFonts w:eastAsia="Calibri" w:cs="Arial"/>
          <w:iCs/>
          <w:lang w:eastAsia="en-US"/>
        </w:rPr>
      </w:pPr>
      <w:r>
        <w:rPr>
          <w:rFonts w:eastAsia="Calibri" w:cs="Arial"/>
          <w:iCs/>
          <w:lang w:eastAsia="en-US"/>
        </w:rPr>
        <w:t>J</w:t>
      </w:r>
      <w:r w:rsidR="00BA2882" w:rsidRPr="00043677">
        <w:rPr>
          <w:rFonts w:eastAsia="Calibri" w:cs="Arial"/>
          <w:iCs/>
          <w:lang w:eastAsia="en-US"/>
        </w:rPr>
        <w:t xml:space="preserve">ednym z wyzwań jest wsparcie tych osób w znalezieniu </w:t>
      </w:r>
      <w:r w:rsidR="00B46CBC" w:rsidRPr="00043677">
        <w:rPr>
          <w:rFonts w:eastAsia="Calibri" w:cs="Arial"/>
          <w:iCs/>
          <w:lang w:eastAsia="en-US"/>
        </w:rPr>
        <w:t>im adekwatnej</w:t>
      </w:r>
      <w:r w:rsidR="00BA2882" w:rsidRPr="00043677">
        <w:rPr>
          <w:rFonts w:eastAsia="Calibri" w:cs="Arial"/>
          <w:iCs/>
          <w:lang w:eastAsia="en-US"/>
        </w:rPr>
        <w:t xml:space="preserve"> pracy. Warto podkreślić, że </w:t>
      </w:r>
      <w:r w:rsidR="00B46CBC" w:rsidRPr="00043677">
        <w:rPr>
          <w:rFonts w:eastAsia="Calibri" w:cs="Arial"/>
          <w:iCs/>
          <w:lang w:eastAsia="en-US"/>
        </w:rPr>
        <w:t xml:space="preserve">osoby </w:t>
      </w:r>
      <w:r w:rsidR="00BA2882" w:rsidRPr="00043677">
        <w:rPr>
          <w:rFonts w:eastAsia="Calibri" w:cs="Arial"/>
          <w:iCs/>
          <w:lang w:eastAsia="en-US"/>
        </w:rPr>
        <w:t xml:space="preserve">z Ukrainy są </w:t>
      </w:r>
      <w:r w:rsidR="00B46CBC" w:rsidRPr="00043677">
        <w:rPr>
          <w:rFonts w:eastAsia="Calibri" w:cs="Arial"/>
          <w:iCs/>
          <w:lang w:eastAsia="en-US"/>
        </w:rPr>
        <w:t xml:space="preserve">raczej </w:t>
      </w:r>
      <w:r w:rsidR="00BA2882" w:rsidRPr="00043677">
        <w:rPr>
          <w:rFonts w:eastAsia="Calibri" w:cs="Arial"/>
          <w:iCs/>
          <w:lang w:eastAsia="en-US"/>
        </w:rPr>
        <w:t>aktywn</w:t>
      </w:r>
      <w:r w:rsidR="00B46CBC" w:rsidRPr="00043677">
        <w:rPr>
          <w:rFonts w:eastAsia="Calibri" w:cs="Arial"/>
          <w:iCs/>
          <w:lang w:eastAsia="en-US"/>
        </w:rPr>
        <w:t>e</w:t>
      </w:r>
      <w:r w:rsidR="00BA2882" w:rsidRPr="00043677">
        <w:rPr>
          <w:rFonts w:eastAsia="Calibri" w:cs="Arial"/>
          <w:iCs/>
          <w:lang w:eastAsia="en-US"/>
        </w:rPr>
        <w:t xml:space="preserve"> na rynku pracy – około 30% z nich już pracowało lub ma zapewnioną pracę, a ok. 50% jej poszukuje. Ponad 50% </w:t>
      </w:r>
      <w:r w:rsidR="00B46CBC" w:rsidRPr="00043677">
        <w:rPr>
          <w:rFonts w:eastAsia="Calibri" w:cs="Arial"/>
          <w:iCs/>
          <w:lang w:eastAsia="en-US"/>
        </w:rPr>
        <w:t>z tych</w:t>
      </w:r>
      <w:r w:rsidR="00BA2882" w:rsidRPr="00043677">
        <w:rPr>
          <w:rFonts w:eastAsia="Calibri" w:cs="Arial"/>
          <w:iCs/>
          <w:lang w:eastAsia="en-US"/>
        </w:rPr>
        <w:t xml:space="preserve">, którzy obecnie znaleźli się w Polsce, nie było wcześniej w Polsce ani nie miało wcześniej kontaktu z osobami, które odwiedziły nasz kraj. Duża cześć </w:t>
      </w:r>
      <w:r w:rsidR="00B46CBC" w:rsidRPr="00043677">
        <w:rPr>
          <w:rFonts w:eastAsia="Calibri" w:cs="Arial"/>
          <w:iCs/>
          <w:lang w:eastAsia="en-US"/>
        </w:rPr>
        <w:t>także</w:t>
      </w:r>
      <w:r w:rsidR="00BA2882" w:rsidRPr="00043677">
        <w:rPr>
          <w:rFonts w:eastAsia="Calibri" w:cs="Arial"/>
          <w:iCs/>
          <w:lang w:eastAsia="en-US"/>
        </w:rPr>
        <w:t xml:space="preserve"> (46%) nie zna </w:t>
      </w:r>
      <w:r w:rsidR="00B46CBC" w:rsidRPr="00043677">
        <w:rPr>
          <w:rFonts w:eastAsia="Calibri" w:cs="Arial"/>
          <w:iCs/>
          <w:lang w:eastAsia="en-US"/>
        </w:rPr>
        <w:t xml:space="preserve">w ogóle </w:t>
      </w:r>
      <w:r w:rsidR="00BA2882" w:rsidRPr="00043677">
        <w:rPr>
          <w:rFonts w:eastAsia="Calibri" w:cs="Arial"/>
          <w:iCs/>
          <w:lang w:eastAsia="en-US"/>
        </w:rPr>
        <w:t xml:space="preserve">języka polskiego. Szczególnie trudna pod względem potencjalnej integracji w polskim </w:t>
      </w:r>
      <w:r w:rsidR="00BA2882" w:rsidRPr="00043677">
        <w:rPr>
          <w:rFonts w:eastAsia="Calibri" w:cs="Arial"/>
          <w:iCs/>
          <w:lang w:eastAsia="en-US"/>
        </w:rPr>
        <w:lastRenderedPageBreak/>
        <w:t xml:space="preserve">społeczeństwie i na rynku pracy może być sytuacja w regionach Polski do których trafiło stosunkowo dużo osób nie mających wcześniej kontaktu </w:t>
      </w:r>
      <w:r w:rsidR="00750B91">
        <w:rPr>
          <w:rFonts w:eastAsia="Calibri" w:cs="Arial"/>
          <w:iCs/>
          <w:lang w:eastAsia="en-US"/>
        </w:rPr>
        <w:br/>
      </w:r>
      <w:r w:rsidR="00BA2882" w:rsidRPr="00043677">
        <w:rPr>
          <w:rFonts w:eastAsia="Calibri" w:cs="Arial"/>
          <w:iCs/>
          <w:lang w:eastAsia="en-US"/>
        </w:rPr>
        <w:t xml:space="preserve">z naszym krajem i językiem (np.: województwa: świętokrzyskie, podlaskie </w:t>
      </w:r>
      <w:r w:rsidR="00750B91">
        <w:rPr>
          <w:rFonts w:eastAsia="Calibri" w:cs="Arial"/>
          <w:iCs/>
          <w:lang w:eastAsia="en-US"/>
        </w:rPr>
        <w:br/>
      </w:r>
      <w:r w:rsidR="00BA2882" w:rsidRPr="00043677">
        <w:rPr>
          <w:rFonts w:eastAsia="Calibri" w:cs="Arial"/>
          <w:iCs/>
          <w:lang w:eastAsia="en-US"/>
        </w:rPr>
        <w:t xml:space="preserve">i warmińsko-mazurskie). Do działań pomocowych, które ułatwiłaby dalszy pobyt w Polsce </w:t>
      </w:r>
      <w:r w:rsidR="00B46CBC" w:rsidRPr="00043677">
        <w:rPr>
          <w:rFonts w:eastAsia="Calibri" w:cs="Arial"/>
          <w:iCs/>
          <w:lang w:eastAsia="en-US"/>
        </w:rPr>
        <w:t xml:space="preserve">same te osoby zaliczają </w:t>
      </w:r>
      <w:r w:rsidR="00BA2882" w:rsidRPr="00043677">
        <w:rPr>
          <w:rFonts w:eastAsia="Calibri" w:cs="Arial"/>
          <w:iCs/>
          <w:lang w:eastAsia="en-US"/>
        </w:rPr>
        <w:t>organizację kursów języka polskiego, pomoc w szybkim znalezieniu pracy oraz pomoc w dostępie do służby zdrowia. Dwie trzecie deklaruje, że jest w Polsce tymczasowo (poniżej roku). Pozostaniem w Polsce na stałe najbardziej zainteresowani są mężczyźni oraz ludzie młodzi. O powrocie na Ukrainę znacznie częściej myślą kobiety</w:t>
      </w:r>
      <w:r w:rsidR="00BA2882">
        <w:rPr>
          <w:rStyle w:val="Odwoanieprzypisudolnego"/>
          <w:rFonts w:eastAsia="Calibri"/>
          <w:iCs/>
          <w:lang w:eastAsia="en-US"/>
        </w:rPr>
        <w:footnoteReference w:id="15"/>
      </w:r>
      <w:r>
        <w:rPr>
          <w:rFonts w:eastAsia="Calibri" w:cs="Arial"/>
          <w:iCs/>
          <w:lang w:eastAsia="en-US"/>
        </w:rPr>
        <w:t>.</w:t>
      </w:r>
    </w:p>
    <w:p w14:paraId="3CC7F9FD" w14:textId="7A7A7AF2" w:rsidR="00B46CBC" w:rsidRPr="00B46CBC" w:rsidRDefault="0031015E">
      <w:pPr>
        <w:numPr>
          <w:ilvl w:val="0"/>
          <w:numId w:val="6"/>
        </w:numPr>
        <w:spacing w:before="120" w:after="120" w:line="360" w:lineRule="auto"/>
        <w:rPr>
          <w:rFonts w:eastAsia="Calibri" w:cs="Arial"/>
          <w:i/>
          <w:lang w:eastAsia="en-US"/>
        </w:rPr>
      </w:pPr>
      <w:r>
        <w:rPr>
          <w:rFonts w:eastAsia="Calibri" w:cs="Arial"/>
          <w:lang w:eastAsia="en-US"/>
        </w:rPr>
        <w:t xml:space="preserve"> </w:t>
      </w:r>
      <w:r w:rsidR="001D2311" w:rsidRPr="0057187F">
        <w:rPr>
          <w:rFonts w:eastAsia="Calibri" w:cs="Arial"/>
          <w:lang w:eastAsia="en-US"/>
        </w:rPr>
        <w:t xml:space="preserve">Polityka spójności na lata 2021-2027 zakłada, że aby móc korzystać z jej środków, państwa członkowskie muszą spełnić określone warunki. Jednym </w:t>
      </w:r>
      <w:r w:rsidR="00750B91">
        <w:rPr>
          <w:rFonts w:eastAsia="Calibri" w:cs="Arial"/>
          <w:lang w:eastAsia="en-US"/>
        </w:rPr>
        <w:br/>
      </w:r>
      <w:r w:rsidR="001D2311" w:rsidRPr="0057187F">
        <w:rPr>
          <w:rFonts w:eastAsia="Calibri" w:cs="Arial"/>
          <w:lang w:eastAsia="en-US"/>
        </w:rPr>
        <w:t>z warunków podstawowych, wynikający</w:t>
      </w:r>
      <w:r w:rsidR="00B46CBC">
        <w:rPr>
          <w:rFonts w:eastAsia="Calibri" w:cs="Arial"/>
          <w:lang w:eastAsia="en-US"/>
        </w:rPr>
        <w:t>ch</w:t>
      </w:r>
      <w:r w:rsidR="001D2311" w:rsidRPr="0057187F">
        <w:rPr>
          <w:rFonts w:eastAsia="Calibri" w:cs="Arial"/>
          <w:lang w:eastAsia="en-US"/>
        </w:rPr>
        <w:t xml:space="preserve"> z rozporządzenia ogólnego, jest posiadanie przez państwo członkowskie zdolności administracyjnych umożliwiających wdrożenie i stosowanie postanowień KPON w obszarze dotyczącym funduszy unijnych. Aby spełnić ten warunek, Polska musi zagwarantować odpowiednie rozwiązania dotyczące konsultacji i zaangażowania osób z niepełnosprawnościami w opracowanie i wdrażanie programów, rozwiązania w zakresie szkoleń kadr instytucji zaangażowanych w system zarządzania i kontroli funduszy unijnych, a także rozwiązania z zakresu monitorowania wdrożenia przepisów art. 9 KPON przy opracowaniu </w:t>
      </w:r>
      <w:r w:rsidR="00750B91">
        <w:rPr>
          <w:rFonts w:eastAsia="Calibri" w:cs="Arial"/>
          <w:lang w:eastAsia="en-US"/>
        </w:rPr>
        <w:br/>
      </w:r>
      <w:r w:rsidR="001D2311" w:rsidRPr="0057187F">
        <w:rPr>
          <w:rFonts w:eastAsia="Calibri" w:cs="Arial"/>
          <w:lang w:eastAsia="en-US"/>
        </w:rPr>
        <w:t>i wdrażaniu programów. Wytyczne, poprzez określenie wymagań dla instytucji zaangażowanych we wdrażanie funduszy unijnych, są elementem spełniania tego warunku.</w:t>
      </w:r>
      <w:r w:rsidR="00B46CBC">
        <w:rPr>
          <w:rFonts w:eastAsia="Calibri" w:cs="Arial"/>
          <w:i/>
          <w:lang w:eastAsia="en-US"/>
        </w:rPr>
        <w:t xml:space="preserve"> </w:t>
      </w:r>
      <w:r w:rsidR="00B46CBC" w:rsidRPr="00B46CBC">
        <w:rPr>
          <w:rFonts w:eastAsia="Calibri" w:cs="Arial"/>
          <w:lang w:eastAsia="en-US"/>
        </w:rPr>
        <w:t xml:space="preserve">Zgodnie z rozporządzeniem EFS+, działania realizowane w ramach tego funduszu </w:t>
      </w:r>
      <w:r w:rsidR="00B46CBC">
        <w:rPr>
          <w:rFonts w:eastAsia="Calibri" w:cs="Arial"/>
          <w:lang w:eastAsia="en-US"/>
        </w:rPr>
        <w:t>będą</w:t>
      </w:r>
      <w:r w:rsidR="00B46CBC" w:rsidRPr="00B46CBC">
        <w:rPr>
          <w:rFonts w:eastAsia="Calibri" w:cs="Arial"/>
          <w:lang w:eastAsia="en-US"/>
        </w:rPr>
        <w:t xml:space="preserve"> wspierać wypełnianie obowiązków wynikających z KPON w zakresie m.in. kształcenia, pracy, zatrudnienia i dostępności. </w:t>
      </w:r>
    </w:p>
    <w:p w14:paraId="0D0F2795" w14:textId="3B8AEE45" w:rsidR="001D2311" w:rsidRPr="00DA067E" w:rsidRDefault="0031015E" w:rsidP="0057187F">
      <w:pPr>
        <w:numPr>
          <w:ilvl w:val="0"/>
          <w:numId w:val="6"/>
        </w:numPr>
        <w:spacing w:before="120" w:after="120" w:line="360" w:lineRule="auto"/>
        <w:rPr>
          <w:rFonts w:eastAsia="Calibri" w:cs="Arial"/>
          <w:i/>
          <w:lang w:eastAsia="en-US"/>
        </w:rPr>
      </w:pPr>
      <w:r>
        <w:rPr>
          <w:rFonts w:cs="Arial"/>
        </w:rPr>
        <w:t xml:space="preserve"> </w:t>
      </w:r>
      <w:r w:rsidR="001D2311" w:rsidRPr="0057187F">
        <w:rPr>
          <w:rFonts w:cs="Arial"/>
        </w:rPr>
        <w:t xml:space="preserve">Zasada równości kobiet i mężczyzn jest jedną z naczelnych i podstawowych zasad horyzontalnych w UE. Ma ona podstawę prawną w art. 3 Traktatu o Unii Europejskiej, który wskazuje, że UE „zwalcza wykluczenie społeczne i dyskryminację oraz wspiera sprawiedliwość społeczną i ochronę socjalną, </w:t>
      </w:r>
      <w:r w:rsidR="001D2311" w:rsidRPr="0057187F">
        <w:rPr>
          <w:rFonts w:cs="Arial"/>
        </w:rPr>
        <w:lastRenderedPageBreak/>
        <w:t xml:space="preserve">równość kobiet i mężczyzn, solidarność między pokoleniami </w:t>
      </w:r>
      <w:r w:rsidR="00A879FC">
        <w:rPr>
          <w:rFonts w:cs="Arial"/>
        </w:rPr>
        <w:t>i</w:t>
      </w:r>
      <w:r w:rsidR="00A879FC" w:rsidRPr="0057187F">
        <w:rPr>
          <w:rFonts w:cs="Arial"/>
        </w:rPr>
        <w:t xml:space="preserve"> </w:t>
      </w:r>
      <w:r w:rsidR="001D2311" w:rsidRPr="0057187F">
        <w:rPr>
          <w:rFonts w:cs="Arial"/>
        </w:rPr>
        <w:t>ochronę praw dziecka</w:t>
      </w:r>
      <w:r w:rsidR="001D2311" w:rsidRPr="0057187F">
        <w:rPr>
          <w:rFonts w:cs="Arial"/>
          <w:i/>
        </w:rPr>
        <w:t>”</w:t>
      </w:r>
      <w:r w:rsidR="001D2311" w:rsidRPr="0057187F">
        <w:rPr>
          <w:rFonts w:cs="Arial"/>
        </w:rPr>
        <w:t xml:space="preserve">. </w:t>
      </w:r>
      <w:r w:rsidR="001D2311" w:rsidRPr="0057187F">
        <w:rPr>
          <w:rFonts w:eastAsia="Calibri" w:cs="Arial"/>
          <w:lang w:eastAsia="en-US"/>
        </w:rPr>
        <w:t>Kwestia równości kobiet i mężczyzn została również uregulowana na gruncie prawa polskiego, przede wszystkim w Konstytucji Rzeczypospolitej Polskiej, której art. 33 stanowi, że: „</w:t>
      </w:r>
      <w:r w:rsidR="001D2311" w:rsidRPr="0057187F">
        <w:rPr>
          <w:rFonts w:cs="Arial"/>
        </w:rPr>
        <w:t>Kobieta i mężczyzna w Rzeczypospolitej Polskiej mają równe prawa w życiu rodzinnym, politycznym, społecznym i gospodarczym. Kobieta i mężczyzna mają w szczególności równe prawo do kształcenia, zatrudnienia i awansów, do jednakowego wynagradzania za pracę jednakowej wartości, do zabezpieczenia społecznego oraz do zajmowania stanowisk, pełnienia funkcji oraz uzyskiwania godności publicznych i odznaczeń”.</w:t>
      </w:r>
    </w:p>
    <w:p w14:paraId="4FF93922" w14:textId="67B27593" w:rsidR="008C59F7" w:rsidRPr="00DA067E" w:rsidRDefault="0031015E" w:rsidP="00916A06">
      <w:pPr>
        <w:numPr>
          <w:ilvl w:val="0"/>
          <w:numId w:val="6"/>
        </w:numPr>
        <w:spacing w:before="120" w:after="120" w:line="360" w:lineRule="auto"/>
        <w:rPr>
          <w:rFonts w:cs="Arial"/>
        </w:rPr>
      </w:pPr>
      <w:r>
        <w:rPr>
          <w:rFonts w:cs="Arial"/>
        </w:rPr>
        <w:t xml:space="preserve"> </w:t>
      </w:r>
      <w:r w:rsidR="008C59F7">
        <w:rPr>
          <w:rFonts w:cs="Arial"/>
        </w:rPr>
        <w:t>Jak pokazują dane</w:t>
      </w:r>
      <w:r w:rsidR="00043677">
        <w:rPr>
          <w:rFonts w:cs="Arial"/>
        </w:rPr>
        <w:t>,</w:t>
      </w:r>
      <w:r w:rsidR="008C59F7">
        <w:rPr>
          <w:rFonts w:cs="Arial"/>
        </w:rPr>
        <w:t xml:space="preserve"> sytuacja kobiet i mężczyzn w Polsce nadal nie jest </w:t>
      </w:r>
      <w:r w:rsidR="00750B91">
        <w:rPr>
          <w:rFonts w:cs="Arial"/>
        </w:rPr>
        <w:br/>
      </w:r>
      <w:r w:rsidR="008C59F7">
        <w:rPr>
          <w:rFonts w:cs="Arial"/>
        </w:rPr>
        <w:t>w pełni równa.</w:t>
      </w:r>
      <w:r w:rsidR="00423124">
        <w:rPr>
          <w:rFonts w:cs="Arial"/>
        </w:rPr>
        <w:t xml:space="preserve"> Według GUS</w:t>
      </w:r>
      <w:r w:rsidR="00B42400">
        <w:rPr>
          <w:rStyle w:val="Odwoanieprzypisudolnego"/>
        </w:rPr>
        <w:footnoteReference w:id="16"/>
      </w:r>
      <w:r w:rsidR="00423124">
        <w:rPr>
          <w:rFonts w:cs="Arial"/>
        </w:rPr>
        <w:t xml:space="preserve"> w III kw</w:t>
      </w:r>
      <w:r w:rsidR="00B61D6B">
        <w:rPr>
          <w:rFonts w:cs="Arial"/>
        </w:rPr>
        <w:t>.</w:t>
      </w:r>
      <w:r w:rsidR="00423124">
        <w:rPr>
          <w:rFonts w:cs="Arial"/>
        </w:rPr>
        <w:t xml:space="preserve"> 2021 r.</w:t>
      </w:r>
      <w:r w:rsidR="008C59F7">
        <w:rPr>
          <w:rFonts w:cs="Arial"/>
        </w:rPr>
        <w:t xml:space="preserve"> </w:t>
      </w:r>
      <w:r w:rsidR="00423124">
        <w:t xml:space="preserve">wskaźnik zatrudnienia osób </w:t>
      </w:r>
      <w:r w:rsidR="00750B91">
        <w:br/>
      </w:r>
      <w:r w:rsidR="00423124">
        <w:t>w wieku produkcyjnym jest wyższy dla mężczyzn (</w:t>
      </w:r>
      <w:r w:rsidR="00423124">
        <w:rPr>
          <w:rFonts w:cs="Arial"/>
        </w:rPr>
        <w:t>80,9%) niż kobiet (73,4%).</w:t>
      </w:r>
      <w:r w:rsidR="001C19E0">
        <w:rPr>
          <w:rFonts w:cs="Arial"/>
        </w:rPr>
        <w:t xml:space="preserve"> Nie inaczej jest również w kwestii wskaźnika bierności zawodowej – wśród mężczyzn wskaźnik ten wynosi 33,7% a wśród kobiet 49,7%. Jak pokazują dane znacznie częściej kobiety są bierne zawodowo w związku z opieką nad członkami rodziny niż mężczyźni (13,3% K/1,3% M). </w:t>
      </w:r>
      <w:r w:rsidR="00B42400">
        <w:rPr>
          <w:rFonts w:cs="Arial"/>
        </w:rPr>
        <w:t>Wśród kobiet i mężczyzn zauważalna jest też różnica w zarobkach, a także wysokości wypłacanych emerytur. W 2020 roku przeciętne wynagrodzenie mężczyzn było o 14,7% wyższe niż kobiet, zaś luka płacowa wynosiła 4,8%</w:t>
      </w:r>
      <w:r w:rsidR="00B42400">
        <w:rPr>
          <w:rStyle w:val="Odwoanieprzypisudolnego"/>
        </w:rPr>
        <w:footnoteReference w:id="17"/>
      </w:r>
      <w:r w:rsidR="00B42400">
        <w:rPr>
          <w:rFonts w:cs="Arial"/>
        </w:rPr>
        <w:t>. Blisko 37% kobiet pobiera emerytury do 1,8 tys. zł, gdy tymczasem wśród mężczyzn jest to tylko 8%</w:t>
      </w:r>
      <w:r w:rsidR="00B42400">
        <w:rPr>
          <w:rStyle w:val="Odwoanieprzypisudolnego"/>
        </w:rPr>
        <w:footnoteReference w:id="18"/>
      </w:r>
      <w:r w:rsidR="00B42400">
        <w:rPr>
          <w:rFonts w:cs="Arial"/>
        </w:rPr>
        <w:t xml:space="preserve">. </w:t>
      </w:r>
      <w:r w:rsidR="00916A06" w:rsidRPr="00916A06">
        <w:rPr>
          <w:rFonts w:cs="Arial"/>
        </w:rPr>
        <w:t>Wśród osób samodzielnie gospodarujących zagrożona ubóstwem dochodowym</w:t>
      </w:r>
      <w:r w:rsidR="00916A06">
        <w:rPr>
          <w:rFonts w:cs="Arial"/>
        </w:rPr>
        <w:t xml:space="preserve"> </w:t>
      </w:r>
      <w:r w:rsidR="00916A06" w:rsidRPr="00916A06">
        <w:rPr>
          <w:rFonts w:cs="Arial"/>
        </w:rPr>
        <w:t>była prawie co trzecia osoba – częściej były to kobiety (ok. 35%) niż mężczyźni (ok. 28%)</w:t>
      </w:r>
      <w:r w:rsidR="00621CAE">
        <w:rPr>
          <w:rFonts w:cs="Arial"/>
        </w:rPr>
        <w:t xml:space="preserve"> i właśnie samotne kobiet stanowią grupę najbardziej narażoną na ubóstwo spośród wszystkich innych grup</w:t>
      </w:r>
      <w:r w:rsidR="00621CAE">
        <w:rPr>
          <w:rStyle w:val="Odwoanieprzypisudolnego"/>
        </w:rPr>
        <w:footnoteReference w:id="19"/>
      </w:r>
      <w:r w:rsidR="00621CAE">
        <w:rPr>
          <w:rFonts w:cs="Arial"/>
        </w:rPr>
        <w:t>.</w:t>
      </w:r>
      <w:r w:rsidR="00916A06" w:rsidRPr="00916A06">
        <w:rPr>
          <w:rFonts w:cs="Arial"/>
        </w:rPr>
        <w:t xml:space="preserve"> </w:t>
      </w:r>
    </w:p>
    <w:p w14:paraId="196E32E8" w14:textId="70FBF909" w:rsidR="001D2311" w:rsidRPr="0057187F" w:rsidRDefault="0031015E" w:rsidP="0057187F">
      <w:pPr>
        <w:numPr>
          <w:ilvl w:val="0"/>
          <w:numId w:val="6"/>
        </w:numPr>
        <w:spacing w:before="120" w:after="120" w:line="360" w:lineRule="auto"/>
        <w:rPr>
          <w:rFonts w:eastAsia="Calibri" w:cs="Arial"/>
          <w:i/>
          <w:lang w:eastAsia="en-US"/>
        </w:rPr>
      </w:pPr>
      <w:r>
        <w:rPr>
          <w:rFonts w:cs="Arial"/>
        </w:rPr>
        <w:lastRenderedPageBreak/>
        <w:t xml:space="preserve"> </w:t>
      </w:r>
      <w:r w:rsidR="001D2311" w:rsidRPr="0057187F">
        <w:rPr>
          <w:rFonts w:cs="Arial"/>
        </w:rPr>
        <w:t>W celu wzmocnienia wdrażania zasady równości kobiet i mężczyzn na poziomie europejskim, Komisja Europejska przygotowała dokument „</w:t>
      </w:r>
      <w:r w:rsidR="001D2311" w:rsidRPr="0057187F">
        <w:rPr>
          <w:rFonts w:cs="Arial"/>
          <w:iCs/>
        </w:rPr>
        <w:t>Unia równości: Strategia na rzecz równouprawnienia płci 2020-2025”</w:t>
      </w:r>
      <w:r w:rsidR="001D2311" w:rsidRPr="0057187F">
        <w:rPr>
          <w:rFonts w:cs="Arial"/>
        </w:rPr>
        <w:t xml:space="preserve">, wyznaczając na najbliższe lata najważniejsze kierunki działań w zakresie wyrównywania sytuacji kobiet i mężczyzn. Należą do nich: wolność od przemocy </w:t>
      </w:r>
      <w:r w:rsidR="00750B91">
        <w:rPr>
          <w:rFonts w:cs="Arial"/>
        </w:rPr>
        <w:br/>
      </w:r>
      <w:r w:rsidR="001D2311" w:rsidRPr="0057187F">
        <w:rPr>
          <w:rFonts w:cs="Arial"/>
        </w:rPr>
        <w:t xml:space="preserve">i stereotypów, możliwość rozwoju gospodarczego opartego na równouprawnieniu, osiągnięcie równowagi płci w procesach decyzyjnych </w:t>
      </w:r>
      <w:r w:rsidR="00750B91">
        <w:rPr>
          <w:rFonts w:cs="Arial"/>
        </w:rPr>
        <w:br/>
      </w:r>
      <w:r w:rsidR="001D2311" w:rsidRPr="0057187F">
        <w:rPr>
          <w:rFonts w:cs="Arial"/>
        </w:rPr>
        <w:t xml:space="preserve">i wzmacnianie pozycji kobiet na świecie, uwzględnienie aspektu płci w strategiach UE, finansowanie działań na rzecz wyrównywania szans kobiet </w:t>
      </w:r>
      <w:r w:rsidR="00750B91">
        <w:rPr>
          <w:rFonts w:cs="Arial"/>
        </w:rPr>
        <w:br/>
      </w:r>
      <w:r w:rsidR="001D2311" w:rsidRPr="0057187F">
        <w:rPr>
          <w:rFonts w:cs="Arial"/>
        </w:rPr>
        <w:t>i mężczyzn.</w:t>
      </w:r>
    </w:p>
    <w:p w14:paraId="7553E7CE" w14:textId="0D8DCB7A" w:rsidR="001D2311" w:rsidRPr="00DA067E" w:rsidRDefault="0031015E" w:rsidP="0057187F">
      <w:pPr>
        <w:numPr>
          <w:ilvl w:val="0"/>
          <w:numId w:val="6"/>
        </w:numPr>
        <w:spacing w:before="120" w:after="120" w:line="360" w:lineRule="auto"/>
        <w:rPr>
          <w:rFonts w:eastAsia="Calibri" w:cs="Arial"/>
          <w:i/>
          <w:lang w:eastAsia="en-US"/>
        </w:rPr>
      </w:pPr>
      <w:r>
        <w:rPr>
          <w:rFonts w:cs="Arial"/>
        </w:rPr>
        <w:t xml:space="preserve"> </w:t>
      </w:r>
      <w:r w:rsidR="001D2311" w:rsidRPr="0057187F">
        <w:rPr>
          <w:rFonts w:cs="Arial"/>
        </w:rPr>
        <w:t xml:space="preserve">Rozporządzenie ogólne zawiera warunek podstawowy, nakładający na kraje członkowskie korzystające ze środków UE obowiązek posiadania strategii na rzecz wyrównywania szans kobiet i mężczyzn. </w:t>
      </w:r>
      <w:bookmarkStart w:id="31" w:name="_Hlk97278576"/>
      <w:r w:rsidR="001D2311" w:rsidRPr="0057187F">
        <w:rPr>
          <w:rFonts w:cs="Arial"/>
        </w:rPr>
        <w:t xml:space="preserve">Strategia ta powinna odnosić się do: kwestii wyrównywania szans w zatrudnieniu, wysokości wynagrodzeń </w:t>
      </w:r>
      <w:r w:rsidR="00750B91">
        <w:rPr>
          <w:rFonts w:cs="Arial"/>
        </w:rPr>
        <w:br/>
      </w:r>
      <w:r w:rsidR="001D2311" w:rsidRPr="0057187F">
        <w:rPr>
          <w:rFonts w:cs="Arial"/>
        </w:rPr>
        <w:t>i emerytur, promowania godzenia życia zawodowego i prywatnego</w:t>
      </w:r>
      <w:bookmarkEnd w:id="31"/>
      <w:r w:rsidR="001D2311" w:rsidRPr="0057187F">
        <w:rPr>
          <w:rFonts w:cs="Arial"/>
        </w:rPr>
        <w:t>. W przypadku Polski realizacją tego warunku jest „</w:t>
      </w:r>
      <w:r w:rsidR="001D2311" w:rsidRPr="0057187F">
        <w:rPr>
          <w:rFonts w:cs="Arial"/>
          <w:iCs/>
        </w:rPr>
        <w:t>Krajowy Program Działań na rzecz Równego Traktowania 202</w:t>
      </w:r>
      <w:r w:rsidR="00A879FC">
        <w:rPr>
          <w:rFonts w:cs="Arial"/>
          <w:iCs/>
        </w:rPr>
        <w:t>2</w:t>
      </w:r>
      <w:r w:rsidR="001D2311" w:rsidRPr="0057187F">
        <w:rPr>
          <w:rFonts w:cs="Arial"/>
          <w:iCs/>
        </w:rPr>
        <w:t>-2030”</w:t>
      </w:r>
      <w:r w:rsidR="00043677">
        <w:rPr>
          <w:rFonts w:cs="Arial"/>
          <w:iCs/>
        </w:rPr>
        <w:t>.</w:t>
      </w:r>
      <w:r w:rsidR="001D2311" w:rsidRPr="0057187F">
        <w:rPr>
          <w:rFonts w:cs="Arial"/>
          <w:iCs/>
        </w:rPr>
        <w:t xml:space="preserve"> </w:t>
      </w:r>
    </w:p>
    <w:p w14:paraId="03111905" w14:textId="2A13B2DB" w:rsidR="001D2311" w:rsidRPr="0057187F" w:rsidRDefault="0031015E" w:rsidP="0057187F">
      <w:pPr>
        <w:numPr>
          <w:ilvl w:val="0"/>
          <w:numId w:val="6"/>
        </w:numPr>
        <w:spacing w:before="120" w:after="120" w:line="360" w:lineRule="auto"/>
        <w:rPr>
          <w:rFonts w:eastAsia="Calibri" w:cs="Arial"/>
          <w:i/>
          <w:lang w:eastAsia="en-US"/>
        </w:rPr>
      </w:pPr>
      <w:r>
        <w:rPr>
          <w:rFonts w:eastAsia="Calibri" w:cs="Arial"/>
          <w:i/>
          <w:lang w:eastAsia="en-US"/>
        </w:rPr>
        <w:t xml:space="preserve"> </w:t>
      </w:r>
      <w:r w:rsidR="001D2311" w:rsidRPr="0057187F">
        <w:rPr>
          <w:rFonts w:cs="Arial"/>
        </w:rPr>
        <w:t xml:space="preserve">W związku z horyzontalnym charakterem zasad równości szans i niedyskryminacji, oraz zasady równości kobiet i mężczyzn, wszystkie programy wdrażane w ramach funduszy unijnych powinny zaplanować mechanizmy </w:t>
      </w:r>
      <w:r w:rsidR="001D2311" w:rsidRPr="0057187F">
        <w:rPr>
          <w:rFonts w:eastAsia="Calibri" w:cs="Arial"/>
          <w:lang w:eastAsia="en-US"/>
        </w:rPr>
        <w:t xml:space="preserve">pozwalające na przeciwdziałanie wszelkim formom dyskryminacji, ze względu na różne przesłanki, w tym w szczególności dyskryminacji ze względu na niepełnosprawność i płeć. W tym kontekście należy również zwrócić uwagę na wymogi przestrzegania postanowień KPP oraz KPON, wskazane w rozporządzeniu ogólnym jako warunki podstawowe. W tym celu zostały przygotowane procedury służące do włączania postanowień ww. dokumentów do praktyki wdrażania programów oraz ich przestrzegania na etapie wdrażania funduszy unijnych 2021-2027. </w:t>
      </w:r>
    </w:p>
    <w:p w14:paraId="3253DBF8" w14:textId="77777777" w:rsidR="007F5555" w:rsidRDefault="007F5555">
      <w:pPr>
        <w:rPr>
          <w:rFonts w:eastAsiaTheme="majorEastAsia" w:cs="Arial"/>
          <w:b/>
          <w:bCs/>
          <w:sz w:val="32"/>
          <w:szCs w:val="28"/>
        </w:rPr>
      </w:pPr>
      <w:bookmarkStart w:id="32" w:name="_Toc108787448"/>
      <w:r>
        <w:rPr>
          <w:rFonts w:cs="Arial"/>
        </w:rPr>
        <w:br w:type="page"/>
      </w:r>
    </w:p>
    <w:p w14:paraId="7642894D" w14:textId="13C3CEE1" w:rsidR="001D2311" w:rsidRPr="0057187F" w:rsidRDefault="001D2311" w:rsidP="0057187F">
      <w:pPr>
        <w:pStyle w:val="Nagwek1"/>
        <w:rPr>
          <w:rFonts w:cs="Arial"/>
        </w:rPr>
      </w:pPr>
      <w:r w:rsidRPr="0057187F">
        <w:rPr>
          <w:rFonts w:cs="Arial"/>
        </w:rPr>
        <w:lastRenderedPageBreak/>
        <w:t xml:space="preserve">Rozdział 4. Rozłączne zapisy dotyczące realizacji zasad równościowych w procesie wdrażania EFS+, EFRR, FS </w:t>
      </w:r>
      <w:r w:rsidR="00750B91">
        <w:rPr>
          <w:rFonts w:cs="Arial"/>
        </w:rPr>
        <w:br/>
      </w:r>
      <w:r w:rsidRPr="0057187F">
        <w:rPr>
          <w:rFonts w:cs="Arial"/>
        </w:rPr>
        <w:t>i FST</w:t>
      </w:r>
      <w:bookmarkEnd w:id="32"/>
    </w:p>
    <w:p w14:paraId="040B82CE" w14:textId="01738E7C" w:rsidR="001D6AF8" w:rsidRPr="0057187F" w:rsidRDefault="008C4701" w:rsidP="0057187F">
      <w:pPr>
        <w:pStyle w:val="Nagwek2"/>
        <w:rPr>
          <w:rFonts w:cs="Arial"/>
        </w:rPr>
      </w:pPr>
      <w:bookmarkStart w:id="33" w:name="_Toc108787449"/>
      <w:r w:rsidRPr="0057187F">
        <w:rPr>
          <w:rFonts w:cs="Arial"/>
        </w:rPr>
        <w:t xml:space="preserve">Podrozdział </w:t>
      </w:r>
      <w:r w:rsidR="001D2311" w:rsidRPr="0057187F">
        <w:rPr>
          <w:rFonts w:cs="Arial"/>
        </w:rPr>
        <w:t>4</w:t>
      </w:r>
      <w:r w:rsidRPr="0057187F">
        <w:rPr>
          <w:rFonts w:cs="Arial"/>
        </w:rPr>
        <w:t xml:space="preserve">.1. </w:t>
      </w:r>
      <w:bookmarkStart w:id="34" w:name="_Hlk98434175"/>
      <w:bookmarkEnd w:id="24"/>
      <w:bookmarkEnd w:id="25"/>
      <w:bookmarkEnd w:id="26"/>
      <w:r w:rsidR="001D2311" w:rsidRPr="0057187F">
        <w:rPr>
          <w:rFonts w:cs="Arial"/>
        </w:rPr>
        <w:t>Zasada równości szans i niedyskryminacji</w:t>
      </w:r>
      <w:bookmarkEnd w:id="33"/>
    </w:p>
    <w:p w14:paraId="492DC9B1" w14:textId="3568A538" w:rsidR="001D2311" w:rsidRPr="0057187F" w:rsidRDefault="001D2311" w:rsidP="0057187F">
      <w:pPr>
        <w:pStyle w:val="Nagwek3"/>
        <w:rPr>
          <w:rFonts w:cs="Arial"/>
        </w:rPr>
      </w:pPr>
      <w:bookmarkStart w:id="35" w:name="_Toc108787450"/>
      <w:r w:rsidRPr="0057187F">
        <w:rPr>
          <w:rFonts w:cs="Arial"/>
        </w:rPr>
        <w:t>Sekcja 4.1.1. Wymagania ogólne</w:t>
      </w:r>
      <w:bookmarkEnd w:id="35"/>
    </w:p>
    <w:p w14:paraId="653EECA4" w14:textId="59E4531F" w:rsidR="001D2311" w:rsidRPr="00D17B30" w:rsidRDefault="001D2311" w:rsidP="00D17B30">
      <w:pPr>
        <w:numPr>
          <w:ilvl w:val="0"/>
          <w:numId w:val="8"/>
        </w:numPr>
        <w:tabs>
          <w:tab w:val="left" w:pos="426"/>
        </w:tabs>
        <w:spacing w:before="120" w:after="120" w:line="360" w:lineRule="auto"/>
        <w:rPr>
          <w:rFonts w:cs="Arial"/>
        </w:rPr>
      </w:pPr>
      <w:r w:rsidRPr="0057187F">
        <w:rPr>
          <w:rFonts w:cs="Arial"/>
        </w:rPr>
        <w:t>Wszystkie programy wdrażane w ramach komponentu EFS+ objętego zarządzaniem dzielonym</w:t>
      </w:r>
      <w:r w:rsidR="00E85C8E">
        <w:rPr>
          <w:rStyle w:val="Odwoanieprzypisudolnego"/>
        </w:rPr>
        <w:footnoteReference w:id="20"/>
      </w:r>
      <w:r w:rsidRPr="0057187F">
        <w:rPr>
          <w:rFonts w:cs="Arial"/>
        </w:rPr>
        <w:t>, jak również operacje wspierane z komponentu „Zatrudnienie i innowacje społeczne”</w:t>
      </w:r>
      <w:r w:rsidR="00641BD0">
        <w:rPr>
          <w:rStyle w:val="Odwoanieprzypisudolnego"/>
        </w:rPr>
        <w:footnoteReference w:id="21"/>
      </w:r>
      <w:r w:rsidRPr="0057187F">
        <w:rPr>
          <w:rFonts w:cs="Arial"/>
        </w:rPr>
        <w:t xml:space="preserve">, wspierają równe szanse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r w:rsidR="0013078B" w:rsidRPr="0013078B">
        <w:rPr>
          <w:rFonts w:cs="Arial"/>
        </w:rPr>
        <w:t>na każdym etapie i w każdym procesie</w:t>
      </w:r>
      <w:r w:rsidR="008640F4" w:rsidRPr="008640F4">
        <w:rPr>
          <w:rFonts w:cs="Arial"/>
        </w:rPr>
        <w:t xml:space="preserve"> </w:t>
      </w:r>
      <w:r w:rsidR="008640F4">
        <w:rPr>
          <w:rFonts w:cs="Arial"/>
        </w:rPr>
        <w:t>realizacji programów</w:t>
      </w:r>
      <w:r w:rsidR="0013078B" w:rsidRPr="0013078B">
        <w:rPr>
          <w:rFonts w:cs="Arial"/>
        </w:rPr>
        <w:t xml:space="preserve"> tj. podczas przygotowywania, wdrażania, monitorowania, sprawozdawczości, ewaluacji, promocji i kontroli programów</w:t>
      </w:r>
      <w:r w:rsidR="0013078B">
        <w:rPr>
          <w:rFonts w:cs="Arial"/>
        </w:rPr>
        <w:t>.</w:t>
      </w:r>
      <w:r w:rsidRPr="0057187F">
        <w:rPr>
          <w:rFonts w:cs="Arial"/>
        </w:rPr>
        <w:t xml:space="preserve"> Wspierane są również działania promujące powyższą zasadę w ramach wszystkich celów EFS+</w:t>
      </w:r>
      <w:r w:rsidR="00691E5C">
        <w:rPr>
          <w:rFonts w:cs="Arial"/>
        </w:rPr>
        <w:t>.</w:t>
      </w:r>
      <w:r w:rsidRPr="0057187F">
        <w:rPr>
          <w:rFonts w:cs="Arial"/>
        </w:rPr>
        <w:t xml:space="preserve"> </w:t>
      </w:r>
    </w:p>
    <w:p w14:paraId="3A093927" w14:textId="2755ADBF" w:rsidR="001D2311" w:rsidRPr="0057187F" w:rsidRDefault="001D2311" w:rsidP="0057187F">
      <w:pPr>
        <w:numPr>
          <w:ilvl w:val="0"/>
          <w:numId w:val="8"/>
        </w:numPr>
        <w:tabs>
          <w:tab w:val="left" w:pos="426"/>
        </w:tabs>
        <w:spacing w:before="120" w:after="120" w:line="360" w:lineRule="auto"/>
        <w:rPr>
          <w:rFonts w:cs="Arial"/>
        </w:rPr>
      </w:pPr>
      <w:r w:rsidRPr="0057187F">
        <w:rPr>
          <w:rFonts w:cs="Arial"/>
        </w:rPr>
        <w:t>W przypadku programów współfinansowanych z EFRR, FS i FST, wsparcie planowane w ramach poszczególnych celów szczegółowych,</w:t>
      </w:r>
      <w:r w:rsidR="00835D92">
        <w:rPr>
          <w:rFonts w:cs="Arial"/>
        </w:rPr>
        <w:t xml:space="preserve"> działań i projektów,</w:t>
      </w:r>
      <w:r w:rsidRPr="0057187F">
        <w:rPr>
          <w:rFonts w:cs="Arial"/>
        </w:rPr>
        <w:t xml:space="preserve"> jak również kryteria wyboru projektów, są analizowane pod kątem potencjalnego wpływu finansowanych działań i ich efektów na sytuację osób </w:t>
      </w:r>
      <w:r w:rsidR="00750B91">
        <w:rPr>
          <w:rFonts w:cs="Arial"/>
        </w:rPr>
        <w:br/>
      </w:r>
      <w:r w:rsidRPr="0057187F">
        <w:rPr>
          <w:rFonts w:cs="Arial"/>
        </w:rPr>
        <w:t xml:space="preserve">z niepełnosprawnościami lub innych osób o cechach, które mogą stanowić przesłanki dyskryminacji. W przypadku możliwości wystąpienia takiego wpływu regulamin wyboru projektów jest uzupełniany o wymagania dla projektodawców w tym zakresie. Należy pamiętać, że pomimo iż projekt może nie zakładać bezpośredniej pomocy osobom o różnych potrzebach funkcjonalnych, to jednak efekty takich projektów (na przykład przebudowa </w:t>
      </w:r>
      <w:r w:rsidRPr="0057187F">
        <w:rPr>
          <w:rFonts w:cs="Arial"/>
        </w:rPr>
        <w:lastRenderedPageBreak/>
        <w:t>skrzyżowania, nowa aplikacja mobilna, remont budynku</w:t>
      </w:r>
      <w:r w:rsidR="0081195F">
        <w:rPr>
          <w:rFonts w:cs="Arial"/>
        </w:rPr>
        <w:t xml:space="preserve">, </w:t>
      </w:r>
      <w:r w:rsidR="0081195F" w:rsidRPr="0081195F">
        <w:rPr>
          <w:rFonts w:cs="Arial"/>
        </w:rPr>
        <w:t>nowy tabor/środki transportu w komunikacji zbiorowej</w:t>
      </w:r>
      <w:r w:rsidRPr="0057187F">
        <w:rPr>
          <w:rFonts w:cs="Arial"/>
        </w:rPr>
        <w:t>) będą służyć różnym użytkownikom, również osobom z niepełnosprawnościami. Należy więc uwzględnić w przypadku tych inwestycji uniwersalne projektowanie lub jeśli to niemożliwe – racjonalne usprawnienia.</w:t>
      </w:r>
    </w:p>
    <w:p w14:paraId="0EE26463" w14:textId="77DB0E89" w:rsidR="001D2311" w:rsidRPr="0057187F" w:rsidRDefault="001D2311" w:rsidP="0057187F">
      <w:pPr>
        <w:numPr>
          <w:ilvl w:val="0"/>
          <w:numId w:val="8"/>
        </w:numPr>
        <w:tabs>
          <w:tab w:val="left" w:pos="426"/>
        </w:tabs>
        <w:spacing w:before="120" w:after="120" w:line="360" w:lineRule="auto"/>
        <w:rPr>
          <w:rFonts w:cs="Arial"/>
        </w:rPr>
      </w:pPr>
      <w:r w:rsidRPr="0057187F">
        <w:rPr>
          <w:rFonts w:cs="Arial"/>
        </w:rPr>
        <w:t>W ramach programów współfinansowanych z EFS+ stosuje się podwójne podejście</w:t>
      </w:r>
      <w:r w:rsidRPr="0057187F">
        <w:rPr>
          <w:rFonts w:cs="Arial"/>
          <w:vertAlign w:val="superscript"/>
        </w:rPr>
        <w:footnoteReference w:id="22"/>
      </w:r>
      <w:r w:rsidRPr="0057187F">
        <w:rPr>
          <w:rFonts w:cs="Arial"/>
        </w:rPr>
        <w:t xml:space="preserve">. Zgodnie z art. 4 i 6 rozporządzenia EFS+, zasada równości szans i niedyskryminacji </w:t>
      </w:r>
      <w:r w:rsidR="00786E4B">
        <w:rPr>
          <w:rFonts w:cs="Arial"/>
        </w:rPr>
        <w:t>jest</w:t>
      </w:r>
      <w:r w:rsidRPr="0057187F">
        <w:rPr>
          <w:rFonts w:cs="Arial"/>
        </w:rPr>
        <w:t xml:space="preserve"> wdrażana w postaci specjalnie dedykowanego – jednego (lub więcej) celu szczegółowego, działania lub projektu. Ważne by był on ukierunkowany na zwalczanie</w:t>
      </w:r>
      <w:r w:rsidR="008640F4">
        <w:rPr>
          <w:rFonts w:cs="Arial"/>
        </w:rPr>
        <w:t>,</w:t>
      </w:r>
      <w:r w:rsidR="00347E24">
        <w:rPr>
          <w:rFonts w:cs="Arial"/>
        </w:rPr>
        <w:t xml:space="preserve"> </w:t>
      </w:r>
      <w:r w:rsidR="004E01AC">
        <w:rPr>
          <w:rFonts w:cs="Arial"/>
        </w:rPr>
        <w:t xml:space="preserve">i </w:t>
      </w:r>
      <w:r w:rsidR="00347E24" w:rsidRPr="00347E24">
        <w:rPr>
          <w:rFonts w:cs="Arial"/>
        </w:rPr>
        <w:t>zapobieganie wszelkim formom dyskryminacji w stosunku do osób na nią narażonych</w:t>
      </w:r>
      <w:r w:rsidRPr="0057187F">
        <w:rPr>
          <w:rFonts w:cs="Arial"/>
        </w:rPr>
        <w:t>, a także zwiększanie dostępności dla osób z niepełnosprawnościami. Działania te powinny być realizowane z myślą m.in. o:</w:t>
      </w:r>
    </w:p>
    <w:p w14:paraId="1E31EDED" w14:textId="55C776F6" w:rsidR="001D2311" w:rsidRPr="0057187F" w:rsidRDefault="001D2311" w:rsidP="0057187F">
      <w:pPr>
        <w:numPr>
          <w:ilvl w:val="0"/>
          <w:numId w:val="7"/>
        </w:numPr>
        <w:tabs>
          <w:tab w:val="left" w:pos="426"/>
        </w:tabs>
        <w:spacing w:before="120" w:after="120" w:line="360" w:lineRule="auto"/>
        <w:rPr>
          <w:rFonts w:cs="Arial"/>
        </w:rPr>
      </w:pPr>
      <w:r w:rsidRPr="0057187F">
        <w:rPr>
          <w:rFonts w:cs="Arial"/>
        </w:rPr>
        <w:t>zwiększaniu równego i szybkiego dostępu do dobrej jakości, trwałych i przystępnych cenowo usług, w tym usług, które wspierają dostęp do mieszkań oraz opieki skoncentrowanej na osobie;</w:t>
      </w:r>
    </w:p>
    <w:p w14:paraId="7C816D44" w14:textId="77777777" w:rsidR="001D2311" w:rsidRPr="0057187F" w:rsidRDefault="001D2311" w:rsidP="0057187F">
      <w:pPr>
        <w:numPr>
          <w:ilvl w:val="0"/>
          <w:numId w:val="7"/>
        </w:numPr>
        <w:tabs>
          <w:tab w:val="left" w:pos="426"/>
        </w:tabs>
        <w:spacing w:before="120" w:after="120" w:line="360" w:lineRule="auto"/>
        <w:rPr>
          <w:rFonts w:cs="Arial"/>
        </w:rPr>
      </w:pPr>
      <w:r w:rsidRPr="0057187F">
        <w:rPr>
          <w:rFonts w:cs="Arial"/>
        </w:rPr>
        <w:t>modernizacji systemów ochrony socjalnej, w tym wspieraniu dostępu do ochrony socjalnej, ze szczególnym uwzględnieniem dzieci i osób narażonych na dyskryminację ze względu na przesłanki określone w rozporządzeniu ogólnym i KPP (tj.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46C7166D" w14:textId="77777777" w:rsidR="004E01AC" w:rsidRDefault="001D2311" w:rsidP="004E01AC">
      <w:pPr>
        <w:numPr>
          <w:ilvl w:val="0"/>
          <w:numId w:val="7"/>
        </w:numPr>
        <w:tabs>
          <w:tab w:val="left" w:pos="426"/>
          <w:tab w:val="left" w:pos="1134"/>
        </w:tabs>
        <w:spacing w:before="120" w:after="120" w:line="360" w:lineRule="auto"/>
        <w:ind w:left="1134" w:hanging="425"/>
        <w:rPr>
          <w:rFonts w:cs="Arial"/>
        </w:rPr>
      </w:pPr>
      <w:r w:rsidRPr="0057187F">
        <w:rPr>
          <w:rFonts w:cs="Arial"/>
        </w:rPr>
        <w:t>poprawie dostępności, w tym dla osób z niepełnosprawnościami, skuteczności i odporności systemów ochrony zdrowia i usług opieki długoterminowej.</w:t>
      </w:r>
      <w:r w:rsidR="004E01AC">
        <w:rPr>
          <w:rFonts w:cs="Arial"/>
        </w:rPr>
        <w:t xml:space="preserve"> </w:t>
      </w:r>
    </w:p>
    <w:p w14:paraId="0C49D78C" w14:textId="1CF737EE" w:rsidR="001D2311" w:rsidRPr="0031015E" w:rsidRDefault="001D2311" w:rsidP="004F5327">
      <w:pPr>
        <w:tabs>
          <w:tab w:val="left" w:pos="426"/>
          <w:tab w:val="left" w:pos="1134"/>
        </w:tabs>
        <w:spacing w:before="120" w:after="120" w:line="360" w:lineRule="auto"/>
        <w:ind w:left="709"/>
        <w:rPr>
          <w:rFonts w:cs="Arial"/>
        </w:rPr>
      </w:pPr>
      <w:r w:rsidRPr="0031015E">
        <w:rPr>
          <w:rFonts w:cs="Arial"/>
        </w:rPr>
        <w:lastRenderedPageBreak/>
        <w:t xml:space="preserve">Zasada równości szans i niedyskryminacji </w:t>
      </w:r>
      <w:r w:rsidR="0080370E" w:rsidRPr="00DA067E">
        <w:rPr>
          <w:rFonts w:cs="Arial"/>
        </w:rPr>
        <w:t>jest</w:t>
      </w:r>
      <w:r w:rsidRPr="0031015E">
        <w:rPr>
          <w:rFonts w:cs="Arial"/>
        </w:rPr>
        <w:t xml:space="preserve"> także stosowana horyzontalnie we wszystkich celach szczegółowych – działania na rzecz równości szans </w:t>
      </w:r>
      <w:r w:rsidR="009409E0" w:rsidRPr="0031015E">
        <w:rPr>
          <w:rFonts w:cs="Arial"/>
        </w:rPr>
        <w:t>są prowadzone</w:t>
      </w:r>
      <w:r w:rsidRPr="0031015E">
        <w:rPr>
          <w:rFonts w:cs="Arial"/>
        </w:rPr>
        <w:t xml:space="preserve"> w ramach całego systemu wdrażania programów współfinansowanych z EFS</w:t>
      </w:r>
      <w:r w:rsidR="00964C45" w:rsidRPr="00DA067E">
        <w:rPr>
          <w:rFonts w:cs="Arial"/>
        </w:rPr>
        <w:t>+ i podkreślane</w:t>
      </w:r>
      <w:r w:rsidRPr="0031015E">
        <w:rPr>
          <w:rFonts w:cs="Arial"/>
        </w:rPr>
        <w:t xml:space="preserve"> w różnych dokumentach </w:t>
      </w:r>
      <w:r w:rsidR="00750B91">
        <w:rPr>
          <w:rFonts w:cs="Arial"/>
        </w:rPr>
        <w:br/>
      </w:r>
      <w:r w:rsidRPr="0031015E">
        <w:rPr>
          <w:rFonts w:cs="Arial"/>
        </w:rPr>
        <w:t>(na przykład w regulaminach wyboru projektów).</w:t>
      </w:r>
    </w:p>
    <w:p w14:paraId="07DEC37F" w14:textId="716F400A" w:rsidR="001D2311" w:rsidRPr="0057187F" w:rsidRDefault="001D2311" w:rsidP="0057187F">
      <w:pPr>
        <w:numPr>
          <w:ilvl w:val="0"/>
          <w:numId w:val="8"/>
        </w:numPr>
        <w:tabs>
          <w:tab w:val="left" w:pos="426"/>
        </w:tabs>
        <w:spacing w:before="120" w:after="120" w:line="360" w:lineRule="auto"/>
        <w:rPr>
          <w:rFonts w:cs="Arial"/>
        </w:rPr>
      </w:pPr>
      <w:r w:rsidRPr="0057187F">
        <w:rPr>
          <w:rFonts w:cs="Arial"/>
        </w:rPr>
        <w:t>W przypadku programów współfinansowanych z EFRR, FS i FST, IZ stosuje podwójne podejście w wybranych, właściwych przedmiotowo lub podmiotowo obszarach wsparcia</w:t>
      </w:r>
      <w:r w:rsidR="000A53A5">
        <w:rPr>
          <w:rFonts w:cs="Arial"/>
        </w:rPr>
        <w:t xml:space="preserve">, o ile jest to możliwe w </w:t>
      </w:r>
      <w:r w:rsidR="000A53A5" w:rsidRPr="000A53A5">
        <w:rPr>
          <w:rFonts w:cs="Arial"/>
        </w:rPr>
        <w:t>kontekście zakresu interwencji określonego w programie</w:t>
      </w:r>
      <w:r w:rsidRPr="0057187F">
        <w:rPr>
          <w:rFonts w:cs="Arial"/>
        </w:rPr>
        <w:t xml:space="preserve">. Tam, gdzie zostały zdiagnozowane nierówności </w:t>
      </w:r>
      <w:r w:rsidR="00590863">
        <w:rPr>
          <w:rFonts w:cs="Arial"/>
        </w:rPr>
        <w:br/>
      </w:r>
      <w:r w:rsidRPr="0057187F">
        <w:rPr>
          <w:rFonts w:cs="Arial"/>
        </w:rPr>
        <w:t xml:space="preserve">w określonych obszarach wsparcia, </w:t>
      </w:r>
      <w:r w:rsidR="000A53A5">
        <w:rPr>
          <w:rFonts w:cs="Arial"/>
        </w:rPr>
        <w:t xml:space="preserve">szczególnie </w:t>
      </w:r>
      <w:r w:rsidRPr="0057187F">
        <w:rPr>
          <w:rFonts w:cs="Arial"/>
        </w:rPr>
        <w:t>zaleca się zastosowanie ww. podwójnego podejścia. W wypadku braku zdiagnozowania nierówności, wystarczające jest zastosowanie wyłącznie podejścia horyzontalnego.</w:t>
      </w:r>
    </w:p>
    <w:p w14:paraId="07FE8401" w14:textId="7337C8F2" w:rsidR="001D2311" w:rsidRPr="0057187F" w:rsidRDefault="001D2311" w:rsidP="0057187F">
      <w:pPr>
        <w:numPr>
          <w:ilvl w:val="0"/>
          <w:numId w:val="8"/>
        </w:numPr>
        <w:tabs>
          <w:tab w:val="left" w:pos="426"/>
        </w:tabs>
        <w:spacing w:before="120" w:after="120" w:line="360" w:lineRule="auto"/>
        <w:rPr>
          <w:rFonts w:cs="Arial"/>
        </w:rPr>
      </w:pPr>
      <w:r w:rsidRPr="0057187F">
        <w:rPr>
          <w:rFonts w:cs="Arial"/>
        </w:rPr>
        <w:t>Nowe produkty projektów (np. zasoby cyfrowe, środki transportu, infrastruktura, usługi) finansowane z programów są zgodne z zasadami uniwersalnego projektowania – co oznacza co najmniej zastosowanie standardów dostępności dla polityki spójności na lata 2021-2027. W przypadku obiektów i zasobów modernizowanych</w:t>
      </w:r>
      <w:r w:rsidR="00F14155">
        <w:rPr>
          <w:rStyle w:val="Odwoanieprzypisudolnego"/>
        </w:rPr>
        <w:footnoteReference w:id="23"/>
      </w:r>
      <w:r w:rsidR="00F14155" w:rsidRPr="0057187F">
        <w:rPr>
          <w:rFonts w:cs="Arial"/>
        </w:rPr>
        <w:t xml:space="preserve"> </w:t>
      </w:r>
      <w:r w:rsidRPr="0057187F">
        <w:rPr>
          <w:rFonts w:cs="Arial"/>
        </w:rPr>
        <w:t>(m.in. przebudowa</w:t>
      </w:r>
      <w:r w:rsidR="00F14155">
        <w:rPr>
          <w:rFonts w:cs="Arial"/>
        </w:rPr>
        <w:t>,</w:t>
      </w:r>
      <w:r w:rsidRPr="0057187F">
        <w:rPr>
          <w:rFonts w:cs="Arial"/>
          <w:vertAlign w:val="superscript"/>
        </w:rPr>
        <w:footnoteReference w:id="24"/>
      </w:r>
      <w:r w:rsidR="00F14155">
        <w:rPr>
          <w:rFonts w:cs="Arial"/>
        </w:rPr>
        <w:t xml:space="preserve"> </w:t>
      </w:r>
      <w:r w:rsidRPr="0057187F">
        <w:rPr>
          <w:rFonts w:cs="Arial"/>
        </w:rPr>
        <w:t>rozbudowa</w:t>
      </w:r>
      <w:r w:rsidRPr="0057187F">
        <w:rPr>
          <w:rFonts w:cs="Arial"/>
          <w:vertAlign w:val="superscript"/>
        </w:rPr>
        <w:footnoteReference w:id="25"/>
      </w:r>
      <w:r w:rsidRPr="0057187F">
        <w:rPr>
          <w:rFonts w:cs="Arial"/>
        </w:rPr>
        <w:t>), zastosowanie standardów dostępności jest obowiązkowe</w:t>
      </w:r>
      <w:r w:rsidR="0067779A">
        <w:rPr>
          <w:rFonts w:cs="Arial"/>
        </w:rPr>
        <w:t xml:space="preserve"> -</w:t>
      </w:r>
      <w:r w:rsidRPr="0057187F">
        <w:rPr>
          <w:rFonts w:cs="Arial"/>
        </w:rPr>
        <w:t xml:space="preserve"> o ile </w:t>
      </w:r>
      <w:r w:rsidRPr="0057187F">
        <w:rPr>
          <w:rFonts w:cs="Arial"/>
        </w:rPr>
        <w:lastRenderedPageBreak/>
        <w:t>pozwalają na to warunki techniczne i zakres prowadzonej modernizacji</w:t>
      </w:r>
      <w:r w:rsidRPr="004A42AE">
        <w:rPr>
          <w:rFonts w:cs="Arial"/>
          <w:vertAlign w:val="superscript"/>
        </w:rPr>
        <w:footnoteReference w:id="26"/>
      </w:r>
      <w:r w:rsidRPr="0057187F">
        <w:rPr>
          <w:rFonts w:cs="Arial"/>
        </w:rPr>
        <w:t>. Decyzje w tej sprawie podejmuje IZ lub inna, właściwa instytucja</w:t>
      </w:r>
      <w:r w:rsidR="00DB41F8">
        <w:rPr>
          <w:rStyle w:val="Odwoanieprzypisudolnego"/>
        </w:rPr>
        <w:footnoteReference w:id="27"/>
      </w:r>
      <w:r w:rsidR="00DB41F8">
        <w:rPr>
          <w:rFonts w:cs="Arial"/>
        </w:rPr>
        <w:t>.</w:t>
      </w:r>
      <w:r w:rsidRPr="0057187F">
        <w:rPr>
          <w:rFonts w:cs="Arial"/>
        </w:rPr>
        <w:t xml:space="preserve"> </w:t>
      </w:r>
    </w:p>
    <w:p w14:paraId="4A1ADBED" w14:textId="0F14A40A" w:rsidR="001D2311" w:rsidRPr="0057187F" w:rsidRDefault="001D2311" w:rsidP="0057187F">
      <w:pPr>
        <w:numPr>
          <w:ilvl w:val="0"/>
          <w:numId w:val="8"/>
        </w:numPr>
        <w:tabs>
          <w:tab w:val="left" w:pos="426"/>
        </w:tabs>
        <w:spacing w:before="120" w:after="120" w:line="360" w:lineRule="auto"/>
        <w:rPr>
          <w:rFonts w:cs="Arial"/>
        </w:rPr>
      </w:pPr>
      <w:r w:rsidRPr="0057187F">
        <w:rPr>
          <w:rFonts w:cs="Arial"/>
        </w:rPr>
        <w:t>W przypadku typów projektów, do których nie mają zastosowania standardy dostępności dla polityki spójności 2021-2027, IZ lub inna, właściwa instytucja, może zobowiązać beneficjenta do zapewnienia dostępności ich produktów (usług), np. poprzez określenie dodatkowych wymagań w tym zakresie.</w:t>
      </w:r>
    </w:p>
    <w:p w14:paraId="7075C3FF" w14:textId="18610880" w:rsidR="001D2311" w:rsidRPr="0057187F" w:rsidRDefault="001D2311" w:rsidP="0057187F">
      <w:pPr>
        <w:numPr>
          <w:ilvl w:val="0"/>
          <w:numId w:val="8"/>
        </w:numPr>
        <w:tabs>
          <w:tab w:val="left" w:pos="426"/>
        </w:tabs>
        <w:spacing w:before="120" w:after="120" w:line="360" w:lineRule="auto"/>
        <w:rPr>
          <w:rFonts w:cs="Arial"/>
        </w:rPr>
      </w:pPr>
      <w:r w:rsidRPr="0057187F">
        <w:rPr>
          <w:rFonts w:cs="Arial"/>
        </w:rPr>
        <w:t xml:space="preserve">Wszystkie dokumenty związane z wdrażaniem programów są przygotowane </w:t>
      </w:r>
      <w:r w:rsidR="00590863">
        <w:rPr>
          <w:rFonts w:cs="Arial"/>
        </w:rPr>
        <w:br/>
      </w:r>
      <w:r w:rsidRPr="0057187F">
        <w:rPr>
          <w:rFonts w:cs="Arial"/>
        </w:rPr>
        <w:t>w sposób zapewniający ich dostępność zgodnie ze standardem informacyjno-promocyjnym oraz standardem cyfrowym określonymi w załączniku nr 2 do wytycznych.</w:t>
      </w:r>
    </w:p>
    <w:p w14:paraId="0A9730FC" w14:textId="176B2F91" w:rsidR="001D2311" w:rsidRPr="0057187F" w:rsidRDefault="001D2311" w:rsidP="0057187F">
      <w:pPr>
        <w:numPr>
          <w:ilvl w:val="0"/>
          <w:numId w:val="8"/>
        </w:numPr>
        <w:tabs>
          <w:tab w:val="left" w:pos="426"/>
        </w:tabs>
        <w:spacing w:before="120" w:after="120" w:line="360" w:lineRule="auto"/>
        <w:rPr>
          <w:rFonts w:cs="Arial"/>
        </w:rPr>
      </w:pPr>
      <w:r w:rsidRPr="0057187F">
        <w:rPr>
          <w:rFonts w:cs="Arial"/>
        </w:rPr>
        <w:t>Dokumenty związane z wdrażaniem programów, które bezpośrednio lub pośrednio regulują sytuację osób z niepełnosprawnościami</w:t>
      </w:r>
      <w:r w:rsidR="00836CFE">
        <w:rPr>
          <w:rFonts w:cs="Arial"/>
        </w:rPr>
        <w:t xml:space="preserve"> </w:t>
      </w:r>
      <w:r w:rsidR="00836CFE" w:rsidRPr="00836CFE">
        <w:rPr>
          <w:rFonts w:cs="Arial"/>
        </w:rPr>
        <w:t>lub ewentualnie innych osób narażonych na wykluczenie ze względu na różne przesłanki</w:t>
      </w:r>
      <w:r w:rsidR="00D917C6">
        <w:rPr>
          <w:rStyle w:val="Odwoanieprzypisudolnego"/>
        </w:rPr>
        <w:footnoteReference w:id="28"/>
      </w:r>
      <w:r w:rsidR="00590863">
        <w:rPr>
          <w:rFonts w:cs="Arial"/>
        </w:rPr>
        <w:br/>
      </w:r>
      <w:r w:rsidR="00C63748">
        <w:rPr>
          <w:rFonts w:cs="Arial"/>
        </w:rPr>
        <w:t xml:space="preserve">i wymagają konsultacji społecznych, </w:t>
      </w:r>
      <w:r w:rsidRPr="0057187F">
        <w:rPr>
          <w:rFonts w:cs="Arial"/>
        </w:rPr>
        <w:t xml:space="preserve">powinny być konsultowane również </w:t>
      </w:r>
      <w:r w:rsidR="00750B91">
        <w:rPr>
          <w:rFonts w:cs="Arial"/>
        </w:rPr>
        <w:br/>
      </w:r>
      <w:r w:rsidRPr="0057187F">
        <w:rPr>
          <w:rFonts w:cs="Arial"/>
        </w:rPr>
        <w:t>z organizacjami pozarządowymi i podmiotami reprezentującymi środowisko działające na rzecz osób z różnymi niepełnosprawnościami</w:t>
      </w:r>
      <w:r w:rsidR="00D917C6">
        <w:rPr>
          <w:rFonts w:cs="Arial"/>
        </w:rPr>
        <w:t>.</w:t>
      </w:r>
      <w:r w:rsidR="00836CFE" w:rsidRPr="00836CFE">
        <w:t xml:space="preserve"> </w:t>
      </w:r>
      <w:r w:rsidR="00C63748">
        <w:rPr>
          <w:rFonts w:cs="Arial"/>
        </w:rPr>
        <w:t xml:space="preserve">Konsultacje te mogą być </w:t>
      </w:r>
      <w:r w:rsidR="00C63748">
        <w:t>e</w:t>
      </w:r>
      <w:r w:rsidR="00D917C6" w:rsidRPr="00836CFE">
        <w:rPr>
          <w:rFonts w:cs="Arial"/>
        </w:rPr>
        <w:t>wentualnie</w:t>
      </w:r>
      <w:r w:rsidR="00C63748">
        <w:rPr>
          <w:rFonts w:cs="Arial"/>
        </w:rPr>
        <w:t xml:space="preserve"> prowadzone </w:t>
      </w:r>
      <w:r w:rsidR="00D917C6" w:rsidRPr="00D917C6">
        <w:rPr>
          <w:rFonts w:cs="Arial"/>
        </w:rPr>
        <w:t xml:space="preserve">z organizacjami pozarządowymi </w:t>
      </w:r>
      <w:r w:rsidR="00750B91">
        <w:rPr>
          <w:rFonts w:cs="Arial"/>
        </w:rPr>
        <w:br/>
      </w:r>
      <w:r w:rsidR="00D917C6" w:rsidRPr="00D917C6">
        <w:rPr>
          <w:rFonts w:cs="Arial"/>
        </w:rPr>
        <w:t>i podmiotami reprezentującymi</w:t>
      </w:r>
      <w:r w:rsidR="00836CFE" w:rsidRPr="00836CFE">
        <w:rPr>
          <w:rFonts w:cs="Arial"/>
        </w:rPr>
        <w:t xml:space="preserve"> inne osoby narażone na wykluczenie ze względu na różne przesłanki wymienione w rozporządzeniu ogólnym</w:t>
      </w:r>
      <w:r w:rsidRPr="0057187F">
        <w:rPr>
          <w:rFonts w:cs="Arial"/>
        </w:rPr>
        <w:t xml:space="preserve">, </w:t>
      </w:r>
      <w:r w:rsidR="00750B91">
        <w:rPr>
          <w:rFonts w:cs="Arial"/>
        </w:rPr>
        <w:br/>
      </w:r>
      <w:r w:rsidRPr="0057187F">
        <w:rPr>
          <w:rFonts w:cs="Arial"/>
        </w:rPr>
        <w:t>w szczególności poprzez przekazanie tych dokumentów do opinii wybranych organizacji.</w:t>
      </w:r>
    </w:p>
    <w:p w14:paraId="20C25DB6" w14:textId="5929FD8A" w:rsidR="001D2311" w:rsidRPr="0057187F" w:rsidRDefault="001D2311" w:rsidP="0057187F">
      <w:pPr>
        <w:pStyle w:val="Nagwek3"/>
        <w:rPr>
          <w:rFonts w:cs="Arial"/>
        </w:rPr>
      </w:pPr>
      <w:bookmarkStart w:id="36" w:name="_Toc108787451"/>
      <w:r w:rsidRPr="0057187F">
        <w:rPr>
          <w:rFonts w:cs="Arial"/>
        </w:rPr>
        <w:lastRenderedPageBreak/>
        <w:t>Sekcja 4.1.2. Mechanizm racjonalnych usprawnień (MRU)</w:t>
      </w:r>
      <w:bookmarkEnd w:id="36"/>
    </w:p>
    <w:p w14:paraId="0D877E6D" w14:textId="4A3B20C6" w:rsidR="001D2311" w:rsidRPr="0057187F" w:rsidRDefault="001D2311" w:rsidP="0057187F">
      <w:pPr>
        <w:numPr>
          <w:ilvl w:val="0"/>
          <w:numId w:val="9"/>
        </w:numPr>
        <w:spacing w:after="120" w:line="360" w:lineRule="auto"/>
        <w:rPr>
          <w:rFonts w:eastAsia="Calibri" w:cs="Arial"/>
          <w:lang w:eastAsia="en-US"/>
        </w:rPr>
      </w:pPr>
      <w:r w:rsidRPr="0057187F">
        <w:rPr>
          <w:rFonts w:eastAsia="Calibri" w:cs="Arial"/>
          <w:lang w:eastAsia="en-US"/>
        </w:rPr>
        <w:t xml:space="preserve">W projektach w których pojawiły się nieprzewidziane na etapie planowania wydatki związane z zapewnieniem dostępności </w:t>
      </w:r>
      <w:r w:rsidRPr="009409E0">
        <w:rPr>
          <w:rFonts w:eastAsia="Calibri" w:cs="Arial"/>
          <w:lang w:eastAsia="en-US"/>
        </w:rPr>
        <w:t xml:space="preserve">uczestnikowi/uczestniczce </w:t>
      </w:r>
      <w:r w:rsidR="00590863">
        <w:rPr>
          <w:rFonts w:eastAsia="Calibri" w:cs="Arial"/>
          <w:lang w:eastAsia="en-US"/>
        </w:rPr>
        <w:br/>
      </w:r>
      <w:r w:rsidR="009409E0" w:rsidRPr="00DA067E">
        <w:rPr>
          <w:rFonts w:eastAsia="Calibri" w:cs="Arial"/>
          <w:lang w:eastAsia="en-US"/>
        </w:rPr>
        <w:t>(lub członk</w:t>
      </w:r>
      <w:r w:rsidR="00EB67DF">
        <w:rPr>
          <w:rFonts w:eastAsia="Calibri" w:cs="Arial"/>
          <w:lang w:eastAsia="en-US"/>
        </w:rPr>
        <w:t>owi/członkini</w:t>
      </w:r>
      <w:r w:rsidR="009409E0" w:rsidRPr="00DA067E">
        <w:rPr>
          <w:rFonts w:eastAsia="Calibri" w:cs="Arial"/>
          <w:lang w:eastAsia="en-US"/>
        </w:rPr>
        <w:t xml:space="preserve"> personelu) </w:t>
      </w:r>
      <w:r w:rsidRPr="009409E0">
        <w:rPr>
          <w:rFonts w:eastAsia="Calibri" w:cs="Arial"/>
          <w:lang w:eastAsia="en-US"/>
        </w:rPr>
        <w:t>projektu, jest możliwe zastosowanie MRU.</w:t>
      </w:r>
      <w:r w:rsidRPr="0057187F">
        <w:rPr>
          <w:rFonts w:eastAsia="Calibri" w:cs="Arial"/>
          <w:lang w:eastAsia="en-US"/>
        </w:rPr>
        <w:t xml:space="preserve"> Co do zasady środki na finansowanie MRU nie są planowane w budżecie projektu na etapie wnioskowania o jego dofinansowanie.</w:t>
      </w:r>
    </w:p>
    <w:p w14:paraId="2209D1FF" w14:textId="79202558" w:rsidR="001D2311" w:rsidRPr="0057187F" w:rsidRDefault="001D2311" w:rsidP="0057187F">
      <w:pPr>
        <w:numPr>
          <w:ilvl w:val="0"/>
          <w:numId w:val="9"/>
        </w:numPr>
        <w:spacing w:after="120" w:line="360" w:lineRule="auto"/>
        <w:rPr>
          <w:rFonts w:eastAsia="Calibri" w:cs="Arial"/>
          <w:lang w:eastAsia="en-US"/>
        </w:rPr>
      </w:pPr>
      <w:r w:rsidRPr="0057187F">
        <w:rPr>
          <w:rFonts w:eastAsia="Calibri" w:cs="Arial"/>
          <w:lang w:eastAsia="en-US"/>
        </w:rPr>
        <w:t>IZ lub inna, właściwa instytucja w celu sfinansowania MRU umożliwia beneficjentowi skorzystanie z przesunięcia środków w budżecie projektu lub wykorzystanie powstałych oszczędności. W przypadku braku możliwości pokrycia wydatków związanych z MRU z bieżącego budżetu projektu, IZ lub inna, właściwa instytucja umożliwia zwiększenie wartości projektu o niezbędne koszty MRU – pod warunkiem zachowania zgodności z wymogami regulaminu wyboru projektów oraz dostępności środków.</w:t>
      </w:r>
    </w:p>
    <w:p w14:paraId="6DC9F887" w14:textId="44E604FE" w:rsidR="001D2311" w:rsidRPr="0057187F" w:rsidRDefault="001D2311" w:rsidP="0057187F">
      <w:pPr>
        <w:numPr>
          <w:ilvl w:val="0"/>
          <w:numId w:val="9"/>
        </w:numPr>
        <w:spacing w:after="120" w:line="360" w:lineRule="auto"/>
        <w:rPr>
          <w:rFonts w:eastAsia="Calibri" w:cs="Arial"/>
          <w:lang w:eastAsia="en-US"/>
        </w:rPr>
      </w:pPr>
      <w:r w:rsidRPr="0057187F">
        <w:rPr>
          <w:rFonts w:eastAsia="Calibri" w:cs="Arial"/>
          <w:lang w:eastAsia="en-US"/>
        </w:rPr>
        <w:t>W celu zabezpieczenia środków na finansowanie MRU, IZ lub inna, właściwa instytucja może podjąć decyzję o utworzeniu w ramach dostępnej alokacji na priorytet/działanie</w:t>
      </w:r>
      <w:r w:rsidR="00E71C13">
        <w:rPr>
          <w:rFonts w:eastAsia="Calibri" w:cs="Arial"/>
          <w:lang w:eastAsia="en-US"/>
        </w:rPr>
        <w:t>/konkurs</w:t>
      </w:r>
      <w:r w:rsidRPr="0057187F">
        <w:rPr>
          <w:rFonts w:eastAsia="Calibri" w:cs="Arial"/>
          <w:lang w:eastAsia="en-US"/>
        </w:rPr>
        <w:t xml:space="preserve"> rezerwy środków, przeznaczonej na finansowanie wydatków związanych z MRU.</w:t>
      </w:r>
    </w:p>
    <w:p w14:paraId="78504B86" w14:textId="54E701A4" w:rsidR="001D2311" w:rsidRPr="0057187F" w:rsidRDefault="001D2311" w:rsidP="0057187F">
      <w:pPr>
        <w:numPr>
          <w:ilvl w:val="0"/>
          <w:numId w:val="9"/>
        </w:numPr>
        <w:spacing w:after="120" w:line="360" w:lineRule="auto"/>
        <w:rPr>
          <w:rFonts w:eastAsia="Calibri" w:cs="Arial"/>
          <w:lang w:eastAsia="en-US"/>
        </w:rPr>
      </w:pPr>
      <w:r w:rsidRPr="0057187F">
        <w:rPr>
          <w:rFonts w:eastAsia="Calibri" w:cs="Arial"/>
          <w:lang w:eastAsia="en-US"/>
        </w:rPr>
        <w:t xml:space="preserve">Decyzję w sprawie sfinansowania MRU podejmuje IZ lub inna, właściwa instytucja, biorąc pod uwagę zasady określone na etapie ogłaszania naboru, </w:t>
      </w:r>
      <w:r w:rsidR="00D70767">
        <w:rPr>
          <w:rFonts w:eastAsia="Calibri" w:cs="Arial"/>
          <w:lang w:eastAsia="en-US"/>
        </w:rPr>
        <w:br/>
      </w:r>
      <w:r w:rsidRPr="0057187F">
        <w:rPr>
          <w:rFonts w:eastAsia="Calibri" w:cs="Arial"/>
          <w:lang w:eastAsia="en-US"/>
        </w:rPr>
        <w:t xml:space="preserve">a także zasadność i racjonalność poniesienia dodatkowych kosztów </w:t>
      </w:r>
      <w:r w:rsidR="00D70767">
        <w:rPr>
          <w:rFonts w:eastAsia="Calibri" w:cs="Arial"/>
          <w:lang w:eastAsia="en-US"/>
        </w:rPr>
        <w:br/>
      </w:r>
      <w:r w:rsidRPr="0057187F">
        <w:rPr>
          <w:rFonts w:eastAsia="Calibri" w:cs="Arial"/>
          <w:lang w:eastAsia="en-US"/>
        </w:rPr>
        <w:t>w projekcie.</w:t>
      </w:r>
    </w:p>
    <w:p w14:paraId="3B6E56E1" w14:textId="614594E2" w:rsidR="001D2311" w:rsidRPr="0057187F" w:rsidRDefault="006A6BC0" w:rsidP="0057187F">
      <w:pPr>
        <w:numPr>
          <w:ilvl w:val="0"/>
          <w:numId w:val="9"/>
        </w:numPr>
        <w:spacing w:after="120" w:line="360" w:lineRule="auto"/>
        <w:rPr>
          <w:rFonts w:eastAsia="Calibri" w:cs="Arial"/>
          <w:lang w:eastAsia="en-US"/>
        </w:rPr>
      </w:pPr>
      <w:r>
        <w:rPr>
          <w:rFonts w:eastAsia="Calibri" w:cs="Arial"/>
          <w:lang w:eastAsia="en-US"/>
        </w:rPr>
        <w:t>Średni</w:t>
      </w:r>
      <w:r w:rsidRPr="0057187F">
        <w:rPr>
          <w:rFonts w:eastAsia="Calibri" w:cs="Arial"/>
          <w:lang w:eastAsia="en-US"/>
        </w:rPr>
        <w:t xml:space="preserve"> </w:t>
      </w:r>
      <w:r w:rsidR="001D2311" w:rsidRPr="0057187F">
        <w:rPr>
          <w:rFonts w:eastAsia="Calibri" w:cs="Arial"/>
          <w:lang w:eastAsia="en-US"/>
        </w:rPr>
        <w:t>koszt MRU na 1 osobę w projekcie nie może przekroczyć 15 tysięcy złotych brutto.</w:t>
      </w:r>
    </w:p>
    <w:p w14:paraId="1307D1AE" w14:textId="3D36DD4D" w:rsidR="001D2311" w:rsidRPr="0057187F" w:rsidRDefault="001D2311" w:rsidP="0057187F">
      <w:pPr>
        <w:numPr>
          <w:ilvl w:val="0"/>
          <w:numId w:val="9"/>
        </w:numPr>
        <w:spacing w:before="120" w:after="120" w:line="360" w:lineRule="auto"/>
        <w:rPr>
          <w:rFonts w:eastAsia="Calibri" w:cs="Arial"/>
          <w:lang w:eastAsia="en-US"/>
        </w:rPr>
      </w:pPr>
      <w:r w:rsidRPr="0057187F">
        <w:rPr>
          <w:rFonts w:eastAsia="Calibri" w:cs="Arial"/>
          <w:lang w:eastAsia="en-US"/>
        </w:rPr>
        <w:t xml:space="preserve">IZ </w:t>
      </w:r>
      <w:bookmarkStart w:id="37" w:name="_Hlk105158728"/>
      <w:r w:rsidRPr="0057187F">
        <w:rPr>
          <w:rFonts w:eastAsia="Calibri" w:cs="Arial"/>
          <w:lang w:eastAsia="en-US"/>
        </w:rPr>
        <w:t>lub</w:t>
      </w:r>
      <w:r w:rsidRPr="0057187F">
        <w:rPr>
          <w:rFonts w:cs="Arial"/>
        </w:rPr>
        <w:t xml:space="preserve"> inna, właściwa instytucja</w:t>
      </w:r>
      <w:r w:rsidRPr="0057187F">
        <w:rPr>
          <w:rFonts w:eastAsia="Calibri" w:cs="Arial"/>
          <w:lang w:eastAsia="en-US"/>
        </w:rPr>
        <w:t xml:space="preserve"> </w:t>
      </w:r>
      <w:bookmarkEnd w:id="37"/>
      <w:r w:rsidRPr="0057187F">
        <w:rPr>
          <w:rFonts w:eastAsia="Calibri" w:cs="Arial"/>
          <w:lang w:eastAsia="en-US"/>
        </w:rPr>
        <w:t xml:space="preserve">może podjąć decyzję o niestosowaniu MRU </w:t>
      </w:r>
      <w:r w:rsidR="00D70767">
        <w:rPr>
          <w:rFonts w:eastAsia="Calibri" w:cs="Arial"/>
          <w:lang w:eastAsia="en-US"/>
        </w:rPr>
        <w:br/>
      </w:r>
      <w:r w:rsidRPr="0057187F">
        <w:rPr>
          <w:rFonts w:eastAsia="Calibri" w:cs="Arial"/>
          <w:lang w:eastAsia="en-US"/>
        </w:rPr>
        <w:t>w ramach danego naboru, w przypadku, gdy przyjęty w nim sposób finansowania projektów to uniemożliwia (np. gdy projekty są rozliczane metodą uproszczoną, która już uwzględniła w wyliczeniu potencjalne kwoty wynikające z zastosowania MRU lub gdy nie pozwalają na to reguły pomocy publicznej). Informacja o niestosowaniu MRU powinna w takim przypadku zostać umieszczona w regulaminie wyboru projektów.</w:t>
      </w:r>
    </w:p>
    <w:p w14:paraId="34C1464A" w14:textId="5BFD8BDD" w:rsidR="001D2311" w:rsidRPr="0057187F" w:rsidRDefault="001D2311" w:rsidP="0057187F">
      <w:pPr>
        <w:numPr>
          <w:ilvl w:val="0"/>
          <w:numId w:val="9"/>
        </w:numPr>
        <w:spacing w:before="120" w:after="120" w:line="360" w:lineRule="auto"/>
        <w:rPr>
          <w:rFonts w:eastAsia="Calibri" w:cs="Arial"/>
          <w:lang w:eastAsia="en-US"/>
        </w:rPr>
      </w:pPr>
      <w:r w:rsidRPr="0057187F">
        <w:rPr>
          <w:rFonts w:eastAsia="Calibri" w:cs="Arial"/>
          <w:lang w:eastAsia="en-US"/>
        </w:rPr>
        <w:t xml:space="preserve">Każdy wydatek poniesiony w ramach MRU jest kwalifikowalny, o ile nie stanowi wydatku niekwalifikowalnego na mocy przepisów unijnych oraz </w:t>
      </w:r>
      <w:r w:rsidRPr="0057187F">
        <w:rPr>
          <w:rFonts w:eastAsia="Calibri" w:cs="Arial"/>
          <w:lang w:eastAsia="en-US"/>
        </w:rPr>
        <w:lastRenderedPageBreak/>
        <w:t>wytycznych dotyczących kwalifikowalności wydatków na lata 2021-2027, regulaminu wyboru projekt</w:t>
      </w:r>
      <w:r w:rsidR="00A879FC">
        <w:rPr>
          <w:rFonts w:eastAsia="Calibri" w:cs="Arial"/>
          <w:lang w:eastAsia="en-US"/>
        </w:rPr>
        <w:t>ów</w:t>
      </w:r>
      <w:r w:rsidR="00EB67DF">
        <w:rPr>
          <w:rFonts w:eastAsia="Calibri" w:cs="Arial"/>
          <w:lang w:eastAsia="en-US"/>
        </w:rPr>
        <w:t>,</w:t>
      </w:r>
      <w:r w:rsidRPr="0057187F">
        <w:rPr>
          <w:rFonts w:eastAsia="Calibri" w:cs="Arial"/>
          <w:lang w:eastAsia="en-US"/>
        </w:rPr>
        <w:t xml:space="preserve"> czy też innych dokumentów programowych.</w:t>
      </w:r>
    </w:p>
    <w:p w14:paraId="15BD7F1A" w14:textId="09ABCEEA" w:rsidR="001D2311" w:rsidRPr="0057187F" w:rsidRDefault="001D2311" w:rsidP="0057187F">
      <w:pPr>
        <w:numPr>
          <w:ilvl w:val="0"/>
          <w:numId w:val="9"/>
        </w:numPr>
        <w:spacing w:before="120" w:after="120" w:line="360" w:lineRule="auto"/>
        <w:rPr>
          <w:rFonts w:eastAsia="Calibri" w:cs="Arial"/>
          <w:lang w:eastAsia="en-US"/>
        </w:rPr>
      </w:pPr>
      <w:r w:rsidRPr="0057187F">
        <w:rPr>
          <w:rFonts w:eastAsia="Calibri" w:cs="Arial"/>
          <w:bCs/>
        </w:rPr>
        <w:t>W projektach EFS+</w:t>
      </w:r>
      <w:r w:rsidR="00EB07EF">
        <w:rPr>
          <w:rStyle w:val="Odwoanieprzypisudolnego"/>
          <w:rFonts w:eastAsia="Calibri"/>
          <w:bCs/>
        </w:rPr>
        <w:footnoteReference w:id="29"/>
      </w:r>
      <w:r w:rsidRPr="0057187F">
        <w:rPr>
          <w:rFonts w:eastAsia="Calibri" w:cs="Arial"/>
          <w:bCs/>
        </w:rPr>
        <w:t xml:space="preserve"> </w:t>
      </w:r>
      <w:r w:rsidR="00A879FC">
        <w:rPr>
          <w:rFonts w:eastAsia="Calibri" w:cs="Arial"/>
          <w:bCs/>
        </w:rPr>
        <w:t xml:space="preserve">w </w:t>
      </w:r>
      <w:r w:rsidRPr="0057187F">
        <w:rPr>
          <w:rFonts w:eastAsia="Calibri" w:cs="Arial"/>
          <w:bCs/>
        </w:rPr>
        <w:t>przypadku rozliczania w projekcie kosztów pośrednich stawką ryczałtową, kwota wydatków poniesionych na MRU (wydatków bezpośrednich) wchodzi do podstawy wyliczenia przysługujących na etapie rozliczania kosztów pośrednich. Wpływa tym samym na zwiększenie możliwych do rozliczenia kosztów pośrednich w tym projekcie</w:t>
      </w:r>
      <w:r w:rsidRPr="0057187F">
        <w:rPr>
          <w:rFonts w:eastAsia="Calibri" w:cs="Arial"/>
        </w:rPr>
        <w:t>. Na etapie rozliczenia projektu – wyliczając przysługujące beneficjentowi koszty pośrednie według uprzednio uzgodnionej stawki ryczałtowej – uwzględnia się wszystkie wydatki bezpośrednie, również te wynikające z MRU.</w:t>
      </w:r>
    </w:p>
    <w:p w14:paraId="479DFE64" w14:textId="4A8FB7DB" w:rsidR="001D2311" w:rsidRPr="0057187F" w:rsidRDefault="001D2311" w:rsidP="0057187F">
      <w:pPr>
        <w:pStyle w:val="Nagwek3"/>
        <w:rPr>
          <w:rFonts w:cs="Arial"/>
        </w:rPr>
      </w:pPr>
      <w:bookmarkStart w:id="38" w:name="_Toc108787452"/>
      <w:r w:rsidRPr="0057187F">
        <w:rPr>
          <w:rFonts w:cs="Arial"/>
        </w:rPr>
        <w:t>Sekcja 4.1.3. Wybór projektów</w:t>
      </w:r>
      <w:bookmarkEnd w:id="38"/>
    </w:p>
    <w:p w14:paraId="05FA7E74" w14:textId="2D74B568" w:rsidR="001D2311" w:rsidRPr="0057187F" w:rsidRDefault="001D2311" w:rsidP="0057187F">
      <w:pPr>
        <w:numPr>
          <w:ilvl w:val="0"/>
          <w:numId w:val="12"/>
        </w:numPr>
        <w:spacing w:before="120" w:after="120" w:line="360" w:lineRule="auto"/>
        <w:rPr>
          <w:rFonts w:eastAsia="Calibri" w:cs="Arial"/>
          <w:lang w:eastAsia="en-US"/>
        </w:rPr>
      </w:pPr>
      <w:r w:rsidRPr="0057187F">
        <w:rPr>
          <w:rFonts w:eastAsia="Calibri" w:cs="Arial"/>
          <w:lang w:eastAsia="en-US"/>
        </w:rPr>
        <w:t xml:space="preserve">IZ zapewnia, że wszystkie produkty (w tym także usługi) projektów są dostępne </w:t>
      </w:r>
      <w:r w:rsidR="00A00C8D">
        <w:rPr>
          <w:rFonts w:eastAsia="Calibri" w:cs="Arial"/>
          <w:lang w:eastAsia="en-US"/>
        </w:rPr>
        <w:t xml:space="preserve">dla </w:t>
      </w:r>
      <w:r w:rsidRPr="0057187F">
        <w:rPr>
          <w:rFonts w:eastAsia="Calibri" w:cs="Arial"/>
          <w:lang w:eastAsia="en-US"/>
        </w:rPr>
        <w:t>wszystkich użytkowników</w:t>
      </w:r>
      <w:r w:rsidR="003D38E9">
        <w:rPr>
          <w:rFonts w:eastAsia="Calibri" w:cs="Arial"/>
          <w:lang w:eastAsia="en-US"/>
        </w:rPr>
        <w:t>,</w:t>
      </w:r>
      <w:r w:rsidR="003D38E9" w:rsidRPr="003D38E9">
        <w:rPr>
          <w:rFonts w:eastAsia="Calibri" w:cs="Arial"/>
          <w:lang w:eastAsia="en-US"/>
        </w:rPr>
        <w:t xml:space="preserve"> </w:t>
      </w:r>
      <w:r w:rsidR="003D38E9" w:rsidRPr="0057187F">
        <w:rPr>
          <w:rFonts w:eastAsia="Calibri" w:cs="Arial"/>
          <w:lang w:eastAsia="en-US"/>
        </w:rPr>
        <w:t>w tym dla osób z niepełnosprawnościami</w:t>
      </w:r>
      <w:r w:rsidR="003D38E9" w:rsidRPr="0057187F">
        <w:rPr>
          <w:rFonts w:eastAsia="Calibri" w:cs="Arial"/>
          <w:vertAlign w:val="superscript"/>
          <w:lang w:eastAsia="en-US"/>
        </w:rPr>
        <w:footnoteReference w:id="30"/>
      </w:r>
      <w:r w:rsidR="003D38E9">
        <w:rPr>
          <w:rFonts w:eastAsia="Calibri" w:cs="Arial"/>
          <w:lang w:eastAsia="en-US"/>
        </w:rPr>
        <w:t xml:space="preserve">, </w:t>
      </w:r>
      <w:r w:rsidRPr="0057187F">
        <w:rPr>
          <w:rFonts w:eastAsia="Calibri" w:cs="Arial"/>
          <w:lang w:eastAsia="en-US"/>
        </w:rPr>
        <w:t>bez jakiejkolwiek dyskryminacji</w:t>
      </w:r>
      <w:r w:rsidR="003D38E9">
        <w:rPr>
          <w:rFonts w:eastAsia="Calibri" w:cs="Arial"/>
          <w:lang w:eastAsia="en-US"/>
        </w:rPr>
        <w:t>.</w:t>
      </w:r>
      <w:r w:rsidRPr="0057187F">
        <w:rPr>
          <w:rFonts w:eastAsia="Calibri" w:cs="Arial"/>
          <w:lang w:eastAsia="en-US"/>
        </w:rPr>
        <w:t xml:space="preserve"> W tym celu, IZ lub inna, właściwa instytucja, </w:t>
      </w:r>
      <w:r w:rsidR="00EB67DF" w:rsidRPr="0057187F">
        <w:rPr>
          <w:rFonts w:eastAsia="Calibri" w:cs="Arial"/>
          <w:lang w:eastAsia="en-US"/>
        </w:rPr>
        <w:t>pr</w:t>
      </w:r>
      <w:r w:rsidR="00EB67DF">
        <w:rPr>
          <w:rFonts w:eastAsia="Calibri" w:cs="Arial"/>
          <w:lang w:eastAsia="en-US"/>
        </w:rPr>
        <w:t>zedkłada</w:t>
      </w:r>
      <w:r w:rsidR="00EB67DF" w:rsidRPr="0057187F">
        <w:rPr>
          <w:rFonts w:eastAsia="Calibri" w:cs="Arial"/>
          <w:lang w:eastAsia="en-US"/>
        </w:rPr>
        <w:t xml:space="preserve"> </w:t>
      </w:r>
      <w:r w:rsidRPr="0057187F">
        <w:rPr>
          <w:rFonts w:eastAsia="Calibri" w:cs="Arial"/>
          <w:lang w:eastAsia="en-US"/>
        </w:rPr>
        <w:t xml:space="preserve">komitetowi monitorującemu </w:t>
      </w:r>
      <w:r w:rsidR="00EB67DF">
        <w:rPr>
          <w:rFonts w:eastAsia="Calibri" w:cs="Arial"/>
          <w:lang w:eastAsia="en-US"/>
        </w:rPr>
        <w:t xml:space="preserve">do </w:t>
      </w:r>
      <w:r w:rsidRPr="0057187F">
        <w:rPr>
          <w:rFonts w:eastAsia="Calibri" w:cs="Arial"/>
          <w:lang w:eastAsia="en-US"/>
        </w:rPr>
        <w:t>przyjęci</w:t>
      </w:r>
      <w:r w:rsidR="00EB67DF">
        <w:rPr>
          <w:rFonts w:eastAsia="Calibri" w:cs="Arial"/>
          <w:lang w:eastAsia="en-US"/>
        </w:rPr>
        <w:t>a</w:t>
      </w:r>
      <w:r w:rsidRPr="0057187F">
        <w:rPr>
          <w:rFonts w:eastAsia="Calibri" w:cs="Arial"/>
          <w:lang w:eastAsia="en-US"/>
        </w:rPr>
        <w:t xml:space="preserve"> kryterium wyboru projektu, zobowiązującego </w:t>
      </w:r>
      <w:r w:rsidR="00E71C13">
        <w:rPr>
          <w:rFonts w:eastAsia="Calibri" w:cs="Arial"/>
          <w:lang w:eastAsia="en-US"/>
        </w:rPr>
        <w:t xml:space="preserve">wnioskodawcę </w:t>
      </w:r>
      <w:r w:rsidRPr="0057187F">
        <w:rPr>
          <w:rFonts w:eastAsia="Calibri" w:cs="Arial"/>
          <w:lang w:eastAsia="en-US"/>
        </w:rPr>
        <w:t>do wykazania we wniosku o dofinansowanie projektu pozytywnego wpływu realizacji projektu na zasadę równości szans i niedyskryminacji. Rekomendowane brzmienie kryterium wyboru projektu brzmi:</w:t>
      </w:r>
      <w:bookmarkStart w:id="39" w:name="_Toc54866799"/>
    </w:p>
    <w:p w14:paraId="75D1EBCC" w14:textId="6A347573" w:rsidR="001D2311" w:rsidRPr="0057187F" w:rsidRDefault="001D2311" w:rsidP="0057187F">
      <w:pPr>
        <w:spacing w:before="120" w:after="120" w:line="360" w:lineRule="auto"/>
        <w:ind w:left="720"/>
        <w:rPr>
          <w:rFonts w:eastAsia="Calibri" w:cs="Arial"/>
          <w:lang w:eastAsia="en-US"/>
        </w:rPr>
      </w:pPr>
      <w:r w:rsidRPr="0057187F">
        <w:rPr>
          <w:rFonts w:eastAsia="Calibri" w:cs="Arial"/>
          <w:iCs/>
          <w:lang w:eastAsia="en-US"/>
        </w:rPr>
        <w:t>„Projekt będzie miał pozytywny wpływ na zasadę równości szans i niedyskryminacji, w tym dostępnoś</w:t>
      </w:r>
      <w:r w:rsidR="00A00C8D">
        <w:rPr>
          <w:rFonts w:eastAsia="Calibri" w:cs="Arial"/>
          <w:iCs/>
          <w:lang w:eastAsia="en-US"/>
        </w:rPr>
        <w:t>ć</w:t>
      </w:r>
      <w:r w:rsidRPr="0057187F">
        <w:rPr>
          <w:rFonts w:eastAsia="Calibri" w:cs="Arial"/>
          <w:iCs/>
          <w:lang w:eastAsia="en-US"/>
        </w:rPr>
        <w:t xml:space="preserve"> dla osób z niepełnosprawnościami”</w:t>
      </w:r>
    </w:p>
    <w:p w14:paraId="114FF224" w14:textId="77777777" w:rsidR="001D2311" w:rsidRPr="0057187F" w:rsidRDefault="001D2311" w:rsidP="0057187F">
      <w:pPr>
        <w:spacing w:before="120" w:after="120" w:line="360" w:lineRule="auto"/>
        <w:ind w:left="720"/>
        <w:rPr>
          <w:rFonts w:eastAsia="Calibri" w:cs="Arial"/>
          <w:lang w:eastAsia="en-US"/>
        </w:rPr>
      </w:pPr>
      <w:r w:rsidRPr="0057187F">
        <w:rPr>
          <w:rFonts w:eastAsia="Calibri" w:cs="Arial"/>
          <w:lang w:eastAsia="en-US"/>
        </w:rPr>
        <w:t>Przez pozytywny wpływ należy rozumieć:</w:t>
      </w:r>
      <w:bookmarkEnd w:id="39"/>
    </w:p>
    <w:p w14:paraId="4308FA76" w14:textId="6E25AD34" w:rsidR="001D2311" w:rsidRPr="00012822" w:rsidRDefault="001D2311" w:rsidP="00012822">
      <w:pPr>
        <w:numPr>
          <w:ilvl w:val="0"/>
          <w:numId w:val="10"/>
        </w:numPr>
        <w:spacing w:before="120" w:after="120" w:line="360" w:lineRule="auto"/>
        <w:rPr>
          <w:rFonts w:cs="Arial"/>
          <w:lang w:eastAsia="en-US"/>
        </w:rPr>
      </w:pPr>
      <w:bookmarkStart w:id="40" w:name="_Toc54866016"/>
      <w:bookmarkStart w:id="41" w:name="_Toc54866800"/>
      <w:bookmarkStart w:id="42" w:name="_Toc73367348"/>
      <w:bookmarkStart w:id="43" w:name="_Toc100223638"/>
      <w:r w:rsidRPr="0057187F">
        <w:rPr>
          <w:rFonts w:cs="Arial"/>
          <w:lang w:eastAsia="en-US"/>
        </w:rPr>
        <w:t xml:space="preserve">w przypadku projektów EFS+ – </w:t>
      </w:r>
      <w:r w:rsidR="00012822" w:rsidRPr="00012822">
        <w:rPr>
          <w:rFonts w:cs="Arial"/>
          <w:lang w:eastAsia="en-US"/>
        </w:rPr>
        <w:t>zapewnienie wsparcia bez jakiekolwiek dyskryminacji ze względu na przesłanki określone w art. 9 Rozporządzenia ogólnego, w tym zapewnienie dostępności do oferowanego w projekcie wsparcia dla wszystkich jego uczestników</w:t>
      </w:r>
      <w:r w:rsidR="00590863">
        <w:rPr>
          <w:rFonts w:cs="Arial"/>
          <w:lang w:eastAsia="en-US"/>
        </w:rPr>
        <w:t xml:space="preserve">/ uczestniczek </w:t>
      </w:r>
      <w:r w:rsidR="00012822" w:rsidRPr="00012822">
        <w:rPr>
          <w:rFonts w:cs="Arial"/>
          <w:lang w:eastAsia="en-US"/>
        </w:rPr>
        <w:t xml:space="preserve">oraz zapewnienie dostępności wszystkich produktów projektu </w:t>
      </w:r>
      <w:r w:rsidR="00F0567F" w:rsidRPr="00F0567F">
        <w:rPr>
          <w:rFonts w:cs="Arial"/>
          <w:lang w:eastAsia="en-US"/>
        </w:rPr>
        <w:t xml:space="preserve">(w tym także usług), </w:t>
      </w:r>
      <w:r w:rsidR="00012822" w:rsidRPr="00012822">
        <w:rPr>
          <w:rFonts w:cs="Arial"/>
          <w:lang w:eastAsia="en-US"/>
        </w:rPr>
        <w:t xml:space="preserve">które nie </w:t>
      </w:r>
      <w:r w:rsidR="00012822" w:rsidRPr="00012822">
        <w:rPr>
          <w:rFonts w:cs="Arial"/>
          <w:lang w:eastAsia="en-US"/>
        </w:rPr>
        <w:lastRenderedPageBreak/>
        <w:t>zostały uznane za neutralne dla wszystkich ich użytkowników</w:t>
      </w:r>
      <w:r w:rsidR="00F0567F">
        <w:rPr>
          <w:rFonts w:cs="Arial"/>
          <w:lang w:eastAsia="en-US"/>
        </w:rPr>
        <w:t>/</w:t>
      </w:r>
      <w:r w:rsidR="00590863">
        <w:rPr>
          <w:rFonts w:cs="Arial"/>
          <w:lang w:eastAsia="en-US"/>
        </w:rPr>
        <w:t xml:space="preserve"> </w:t>
      </w:r>
      <w:r w:rsidR="00F0567F">
        <w:rPr>
          <w:rFonts w:cs="Arial"/>
          <w:lang w:eastAsia="en-US"/>
        </w:rPr>
        <w:t>użytko</w:t>
      </w:r>
      <w:r w:rsidR="00D70767">
        <w:rPr>
          <w:rFonts w:cs="Arial"/>
          <w:lang w:eastAsia="en-US"/>
        </w:rPr>
        <w:t>w</w:t>
      </w:r>
      <w:r w:rsidR="00F0567F">
        <w:rPr>
          <w:rFonts w:cs="Arial"/>
          <w:lang w:eastAsia="en-US"/>
        </w:rPr>
        <w:t>niczek</w:t>
      </w:r>
      <w:r w:rsidR="00012822" w:rsidRPr="00012822">
        <w:rPr>
          <w:rFonts w:cs="Arial"/>
          <w:lang w:eastAsia="en-US"/>
        </w:rPr>
        <w:t xml:space="preserve">, zgodnie ze standardami dostępności, stanowiącymi załącznik do Wytycznych dotyczących realizacji zasad równościowych </w:t>
      </w:r>
      <w:r w:rsidR="00590863">
        <w:rPr>
          <w:rFonts w:cs="Arial"/>
          <w:lang w:eastAsia="en-US"/>
        </w:rPr>
        <w:br/>
      </w:r>
      <w:r w:rsidR="00012822" w:rsidRPr="00012822">
        <w:rPr>
          <w:rFonts w:cs="Arial"/>
          <w:lang w:eastAsia="en-US"/>
        </w:rPr>
        <w:t>w ramach funduszy unijnych na lata 2021-2027;</w:t>
      </w:r>
      <w:r w:rsidRPr="00012822">
        <w:rPr>
          <w:rFonts w:cs="Arial"/>
          <w:lang w:eastAsia="en-US"/>
        </w:rPr>
        <w:t xml:space="preserve"> </w:t>
      </w:r>
      <w:bookmarkStart w:id="44" w:name="_Toc54866017"/>
      <w:bookmarkStart w:id="45" w:name="_Toc54866801"/>
      <w:bookmarkStart w:id="46" w:name="_Toc73367349"/>
      <w:bookmarkStart w:id="47" w:name="_Toc100223639"/>
      <w:bookmarkEnd w:id="40"/>
      <w:bookmarkEnd w:id="41"/>
      <w:bookmarkEnd w:id="42"/>
      <w:bookmarkEnd w:id="43"/>
    </w:p>
    <w:p w14:paraId="4A7D613A" w14:textId="7355A5F5" w:rsidR="001D2311" w:rsidRPr="0057187F" w:rsidRDefault="001D2311" w:rsidP="0057187F">
      <w:pPr>
        <w:numPr>
          <w:ilvl w:val="0"/>
          <w:numId w:val="10"/>
        </w:numPr>
        <w:spacing w:before="120" w:after="120" w:line="360" w:lineRule="auto"/>
        <w:rPr>
          <w:rFonts w:cs="Arial"/>
          <w:lang w:eastAsia="en-US"/>
        </w:rPr>
      </w:pPr>
      <w:r w:rsidRPr="0057187F">
        <w:rPr>
          <w:rFonts w:cs="Arial"/>
          <w:lang w:eastAsia="en-US"/>
        </w:rPr>
        <w:t xml:space="preserve">w przypadku projektów EFRR, FS i FST – zapewnienie dostępności infrastruktury, środków transportu, towarów, usług, technologii i systemów informacyjno-komunikacyjnych oraz wszelkich produktów projektów </w:t>
      </w:r>
      <w:r w:rsidR="00590863">
        <w:rPr>
          <w:rFonts w:cs="Arial"/>
          <w:lang w:eastAsia="en-US"/>
        </w:rPr>
        <w:br/>
      </w:r>
      <w:r w:rsidRPr="0057187F">
        <w:rPr>
          <w:rFonts w:cs="Arial"/>
          <w:lang w:eastAsia="en-US"/>
        </w:rPr>
        <w:t>(w tym także usług)</w:t>
      </w:r>
      <w:r w:rsidR="00A00C8D">
        <w:rPr>
          <w:rFonts w:cs="Arial"/>
          <w:lang w:eastAsia="en-US"/>
        </w:rPr>
        <w:t>,</w:t>
      </w:r>
      <w:r w:rsidRPr="0057187F">
        <w:rPr>
          <w:rFonts w:cs="Arial"/>
          <w:lang w:eastAsia="en-US"/>
        </w:rPr>
        <w:t xml:space="preserve"> które nie zostały uznane za neutralne, dla wszystkich ich użytkowników/użytkowniczek – zgodnie ze standardami dostępności dla polityki spójności 2021–2027.</w:t>
      </w:r>
      <w:bookmarkEnd w:id="44"/>
      <w:bookmarkEnd w:id="45"/>
      <w:bookmarkEnd w:id="46"/>
      <w:bookmarkEnd w:id="47"/>
    </w:p>
    <w:p w14:paraId="4707B82D" w14:textId="3672927C" w:rsidR="001D2311" w:rsidRDefault="001D2311" w:rsidP="0057187F">
      <w:pPr>
        <w:numPr>
          <w:ilvl w:val="0"/>
          <w:numId w:val="12"/>
        </w:numPr>
        <w:spacing w:before="120" w:after="120" w:line="360" w:lineRule="auto"/>
        <w:rPr>
          <w:rFonts w:eastAsia="Calibri" w:cs="Arial"/>
          <w:lang w:eastAsia="en-US"/>
        </w:rPr>
      </w:pPr>
      <w:r w:rsidRPr="0057187F">
        <w:rPr>
          <w:rFonts w:eastAsia="Calibri" w:cs="Arial"/>
          <w:lang w:eastAsia="en-US"/>
        </w:rPr>
        <w:t>W</w:t>
      </w:r>
      <w:r w:rsidRPr="0057187F">
        <w:rPr>
          <w:rFonts w:cs="Arial"/>
          <w:lang w:eastAsia="ar-SA"/>
        </w:rPr>
        <w:t xml:space="preserve"> przypadku gdy produkty (usługi) projektu nie mają swoich bezpośrednich użytkowników/użytkowniczek (np. trakcje kolejowe, instalacje elektryczne, linie przesyłowe, automatyczne linie produkcyjne, zbiorniki retencyjne, nowe lub usprawnione procesy technologiczne, niektóre wydatki z pomocy technicznej), dopuszczalne jest uznanie, że mają one charakter neutralny wobec zasady równości szans i niedyskryminacji. </w:t>
      </w:r>
      <w:r w:rsidR="00DA7234">
        <w:rPr>
          <w:rFonts w:cs="Arial"/>
          <w:lang w:eastAsia="ar-SA"/>
        </w:rPr>
        <w:t>W</w:t>
      </w:r>
      <w:r w:rsidR="00DA7234" w:rsidRPr="00DA7234">
        <w:rPr>
          <w:rFonts w:cs="Arial"/>
          <w:lang w:eastAsia="ar-SA"/>
        </w:rPr>
        <w:t xml:space="preserve">nioskodawca </w:t>
      </w:r>
      <w:r w:rsidR="00DA7234">
        <w:rPr>
          <w:rFonts w:cs="Arial"/>
          <w:lang w:eastAsia="ar-SA"/>
        </w:rPr>
        <w:t>musi wykazać</w:t>
      </w:r>
      <w:r w:rsidR="00DA7234" w:rsidRPr="00DA7234">
        <w:rPr>
          <w:rFonts w:cs="Arial"/>
          <w:lang w:eastAsia="ar-SA"/>
        </w:rPr>
        <w:t xml:space="preserve"> we wniosku o dofinansowanie projektu, że dostępność nie dotyczy danego produktu</w:t>
      </w:r>
      <w:r w:rsidR="00DA7234">
        <w:rPr>
          <w:rFonts w:cs="Arial"/>
          <w:lang w:eastAsia="ar-SA"/>
        </w:rPr>
        <w:t xml:space="preserve"> </w:t>
      </w:r>
      <w:r w:rsidR="00590863">
        <w:rPr>
          <w:rFonts w:cs="Arial"/>
          <w:lang w:eastAsia="ar-SA"/>
        </w:rPr>
        <w:br/>
      </w:r>
      <w:r w:rsidR="00DA7234" w:rsidRPr="00DA7234">
        <w:rPr>
          <w:rFonts w:cs="Arial"/>
          <w:lang w:eastAsia="ar-SA"/>
        </w:rPr>
        <w:t>(lub usługi)</w:t>
      </w:r>
      <w:r w:rsidR="00DA7234">
        <w:rPr>
          <w:rFonts w:cs="Arial"/>
          <w:lang w:eastAsia="ar-SA"/>
        </w:rPr>
        <w:t>.</w:t>
      </w:r>
      <w:r w:rsidR="00DA7234" w:rsidRPr="00DA7234">
        <w:rPr>
          <w:rFonts w:cs="Arial"/>
          <w:lang w:eastAsia="ar-SA"/>
        </w:rPr>
        <w:t xml:space="preserve"> </w:t>
      </w:r>
      <w:r w:rsidR="00DA7234">
        <w:rPr>
          <w:rFonts w:cs="Arial"/>
          <w:lang w:eastAsia="ar-SA"/>
        </w:rPr>
        <w:t xml:space="preserve">Ostateczna </w:t>
      </w:r>
      <w:r w:rsidR="00DA7234">
        <w:rPr>
          <w:rFonts w:eastAsia="Calibri" w:cs="Arial"/>
          <w:lang w:eastAsia="en-US"/>
        </w:rPr>
        <w:t>d</w:t>
      </w:r>
      <w:r w:rsidRPr="0057187F">
        <w:rPr>
          <w:rFonts w:eastAsia="Calibri" w:cs="Arial"/>
          <w:lang w:eastAsia="en-US"/>
        </w:rPr>
        <w:t>ecyzja o uznaniu danego produktu (lub usługi) za neutralny należy do właściwej instytucji, która dokonuje oceny wniosk</w:t>
      </w:r>
      <w:r w:rsidR="00A00C8D">
        <w:rPr>
          <w:rFonts w:eastAsia="Calibri" w:cs="Arial"/>
          <w:lang w:eastAsia="en-US"/>
        </w:rPr>
        <w:t>u</w:t>
      </w:r>
      <w:r w:rsidRPr="0057187F">
        <w:rPr>
          <w:rFonts w:eastAsia="Calibri" w:cs="Arial"/>
          <w:lang w:eastAsia="en-US"/>
        </w:rPr>
        <w:t xml:space="preserve"> o dofinansowanie projekt</w:t>
      </w:r>
      <w:r w:rsidR="00A00C8D">
        <w:rPr>
          <w:rFonts w:eastAsia="Calibri" w:cs="Arial"/>
          <w:lang w:eastAsia="en-US"/>
        </w:rPr>
        <w:t>u</w:t>
      </w:r>
      <w:r w:rsidRPr="0057187F">
        <w:rPr>
          <w:rFonts w:eastAsia="Calibri" w:cs="Arial"/>
          <w:lang w:eastAsia="en-US"/>
        </w:rPr>
        <w:t xml:space="preserve">. </w:t>
      </w:r>
      <w:r w:rsidRPr="0057187F">
        <w:rPr>
          <w:rFonts w:eastAsia="Calibri" w:cs="Arial"/>
        </w:rPr>
        <w:t>W przypadku uznania, że dany produkt (lub usługa) jest neutralny, projekt zawierający ten produkt (lub usługę) może być uznany za zgodny z zasadą równości szans i niedyskryminacji. Uznanie neutralności określonych produktów (usług) projektu nie zwalnia jednak beneficjenta ze stosowania standardów dostępności dla realizacji pozostałej części projektu, dla której standardy dostępności mają zastosowanie.</w:t>
      </w:r>
    </w:p>
    <w:p w14:paraId="5FC425EA" w14:textId="4F57906B" w:rsidR="002D4224" w:rsidRPr="002D4224" w:rsidRDefault="002D4224" w:rsidP="002D4224">
      <w:pPr>
        <w:numPr>
          <w:ilvl w:val="0"/>
          <w:numId w:val="12"/>
        </w:numPr>
        <w:spacing w:before="120" w:after="120" w:line="360" w:lineRule="auto"/>
        <w:rPr>
          <w:rFonts w:eastAsia="Calibri" w:cs="Arial"/>
          <w:lang w:eastAsia="en-US"/>
        </w:rPr>
      </w:pPr>
      <w:r w:rsidRPr="002D4224">
        <w:rPr>
          <w:rFonts w:eastAsia="Calibri" w:cs="Arial"/>
          <w:lang w:eastAsia="en-US"/>
        </w:rPr>
        <w:t>I</w:t>
      </w:r>
      <w:r>
        <w:rPr>
          <w:rFonts w:eastAsia="Calibri" w:cs="Arial"/>
          <w:lang w:eastAsia="en-US"/>
        </w:rPr>
        <w:t>Z</w:t>
      </w:r>
      <w:r w:rsidRPr="002D4224">
        <w:rPr>
          <w:rFonts w:eastAsia="Calibri" w:cs="Arial"/>
          <w:lang w:eastAsia="en-US"/>
        </w:rPr>
        <w:t xml:space="preserve"> lub właściwa instytucja powinna </w:t>
      </w:r>
      <w:r w:rsidR="00DA7234">
        <w:rPr>
          <w:rFonts w:eastAsia="Calibri" w:cs="Arial"/>
          <w:lang w:eastAsia="en-US"/>
        </w:rPr>
        <w:t>wskaz</w:t>
      </w:r>
      <w:r w:rsidR="00DA7234" w:rsidRPr="002D4224">
        <w:rPr>
          <w:rFonts w:eastAsia="Calibri" w:cs="Arial"/>
          <w:lang w:eastAsia="en-US"/>
        </w:rPr>
        <w:t xml:space="preserve">ać </w:t>
      </w:r>
      <w:r>
        <w:rPr>
          <w:rFonts w:eastAsia="Calibri" w:cs="Arial"/>
          <w:lang w:eastAsia="en-US"/>
        </w:rPr>
        <w:t>komitetowi monitorującemu</w:t>
      </w:r>
      <w:r w:rsidRPr="002D4224">
        <w:rPr>
          <w:rFonts w:eastAsia="Calibri" w:cs="Arial"/>
          <w:lang w:eastAsia="en-US"/>
        </w:rPr>
        <w:t xml:space="preserve"> </w:t>
      </w:r>
      <w:r w:rsidR="00F871D0">
        <w:rPr>
          <w:rFonts w:eastAsia="Calibri" w:cs="Arial"/>
          <w:lang w:eastAsia="en-US"/>
        </w:rPr>
        <w:t xml:space="preserve">dany program </w:t>
      </w:r>
      <w:r w:rsidRPr="002D4224">
        <w:rPr>
          <w:rFonts w:eastAsia="Calibri" w:cs="Arial"/>
          <w:lang w:eastAsia="en-US"/>
        </w:rPr>
        <w:t xml:space="preserve">wprowadzenie kryterium weryfikującego zgodność z założeniami KPON </w:t>
      </w:r>
      <w:r>
        <w:rPr>
          <w:rFonts w:eastAsia="Calibri" w:cs="Arial"/>
          <w:lang w:eastAsia="en-US"/>
        </w:rPr>
        <w:t>i</w:t>
      </w:r>
      <w:r w:rsidRPr="002D4224">
        <w:rPr>
          <w:rFonts w:eastAsia="Calibri" w:cs="Arial"/>
          <w:lang w:eastAsia="en-US"/>
        </w:rPr>
        <w:t xml:space="preserve"> KPP. </w:t>
      </w:r>
      <w:r w:rsidR="00F871D0" w:rsidRPr="00F871D0">
        <w:rPr>
          <w:rFonts w:eastAsia="Calibri" w:cs="Arial"/>
          <w:lang w:eastAsia="en-US"/>
        </w:rPr>
        <w:t>Rekomendowane brzmienie kryterium wyboru projektu brzmi</w:t>
      </w:r>
      <w:r w:rsidRPr="002D4224">
        <w:rPr>
          <w:rFonts w:eastAsia="Calibri" w:cs="Arial"/>
          <w:lang w:eastAsia="en-US"/>
        </w:rPr>
        <w:t xml:space="preserve">: </w:t>
      </w:r>
      <w:r w:rsidR="00F871D0" w:rsidRPr="00534041">
        <w:rPr>
          <w:rFonts w:eastAsia="Calibri" w:cs="Arial"/>
          <w:lang w:eastAsia="en-US"/>
        </w:rPr>
        <w:t>„</w:t>
      </w:r>
      <w:r w:rsidR="00A649B6">
        <w:rPr>
          <w:rFonts w:eastAsia="Calibri" w:cs="Arial"/>
          <w:lang w:eastAsia="en-US"/>
        </w:rPr>
        <w:t>Projekt jest zgodny</w:t>
      </w:r>
      <w:r w:rsidR="00534041" w:rsidRPr="00DA067E">
        <w:rPr>
          <w:rFonts w:eastAsia="Calibri" w:cs="Arial"/>
          <w:lang w:eastAsia="en-US"/>
        </w:rPr>
        <w:t xml:space="preserve"> </w:t>
      </w:r>
      <w:r w:rsidRPr="00534041">
        <w:rPr>
          <w:rFonts w:eastAsia="Calibri" w:cs="Arial"/>
          <w:lang w:eastAsia="en-US"/>
        </w:rPr>
        <w:t xml:space="preserve">z Kartą </w:t>
      </w:r>
      <w:r w:rsidR="00A649B6">
        <w:rPr>
          <w:rFonts w:eastAsia="Calibri" w:cs="Arial"/>
          <w:lang w:eastAsia="en-US"/>
        </w:rPr>
        <w:t>P</w:t>
      </w:r>
      <w:r w:rsidRPr="00534041">
        <w:rPr>
          <w:rFonts w:eastAsia="Calibri" w:cs="Arial"/>
          <w:lang w:eastAsia="en-US"/>
        </w:rPr>
        <w:t xml:space="preserve">raw </w:t>
      </w:r>
      <w:r w:rsidR="00A649B6">
        <w:rPr>
          <w:rFonts w:eastAsia="Calibri" w:cs="Arial"/>
          <w:lang w:eastAsia="en-US"/>
        </w:rPr>
        <w:t>P</w:t>
      </w:r>
      <w:r w:rsidRPr="00534041">
        <w:rPr>
          <w:rFonts w:eastAsia="Calibri" w:cs="Arial"/>
          <w:lang w:eastAsia="en-US"/>
        </w:rPr>
        <w:t xml:space="preserve">odstawowych Unii Europejskiej z dnia </w:t>
      </w:r>
      <w:r w:rsidR="00590863">
        <w:rPr>
          <w:rFonts w:eastAsia="Calibri" w:cs="Arial"/>
          <w:lang w:eastAsia="en-US"/>
        </w:rPr>
        <w:br/>
      </w:r>
      <w:r w:rsidRPr="00534041">
        <w:rPr>
          <w:rFonts w:eastAsia="Calibri" w:cs="Arial"/>
          <w:lang w:eastAsia="en-US"/>
        </w:rPr>
        <w:t xml:space="preserve">26 października 2012 r. (Dz. Urz. UE C 326 z 26.10.2012, str. 391) lub Konwencją o </w:t>
      </w:r>
      <w:r w:rsidR="00A649B6">
        <w:rPr>
          <w:rFonts w:eastAsia="Calibri" w:cs="Arial"/>
          <w:lang w:eastAsia="en-US"/>
        </w:rPr>
        <w:t>P</w:t>
      </w:r>
      <w:r w:rsidRPr="00534041">
        <w:rPr>
          <w:rFonts w:eastAsia="Calibri" w:cs="Arial"/>
          <w:lang w:eastAsia="en-US"/>
        </w:rPr>
        <w:t xml:space="preserve">rawach </w:t>
      </w:r>
      <w:r w:rsidR="00A649B6">
        <w:rPr>
          <w:rFonts w:eastAsia="Calibri" w:cs="Arial"/>
          <w:lang w:eastAsia="en-US"/>
        </w:rPr>
        <w:t>O</w:t>
      </w:r>
      <w:r w:rsidRPr="00534041">
        <w:rPr>
          <w:rFonts w:eastAsia="Calibri" w:cs="Arial"/>
          <w:lang w:eastAsia="en-US"/>
        </w:rPr>
        <w:t xml:space="preserve">sób </w:t>
      </w:r>
      <w:r w:rsidR="00A649B6">
        <w:rPr>
          <w:rFonts w:eastAsia="Calibri" w:cs="Arial"/>
          <w:lang w:eastAsia="en-US"/>
        </w:rPr>
        <w:t>N</w:t>
      </w:r>
      <w:r w:rsidRPr="00534041">
        <w:rPr>
          <w:rFonts w:eastAsia="Calibri" w:cs="Arial"/>
          <w:lang w:eastAsia="en-US"/>
        </w:rPr>
        <w:t xml:space="preserve">iepełnosprawnych, sporządzoną w Nowym Jorku dnia 13 grudnia 2006 r. (Dz. U. z 2012 r. poz. 1169, z </w:t>
      </w:r>
      <w:proofErr w:type="spellStart"/>
      <w:r w:rsidRPr="00534041">
        <w:rPr>
          <w:rFonts w:eastAsia="Calibri" w:cs="Arial"/>
          <w:lang w:eastAsia="en-US"/>
        </w:rPr>
        <w:t>późn</w:t>
      </w:r>
      <w:proofErr w:type="spellEnd"/>
      <w:r w:rsidRPr="00534041">
        <w:rPr>
          <w:rFonts w:eastAsia="Calibri" w:cs="Arial"/>
          <w:lang w:eastAsia="en-US"/>
        </w:rPr>
        <w:t>. zm.)</w:t>
      </w:r>
      <w:r w:rsidR="00534041" w:rsidRPr="00DA067E">
        <w:rPr>
          <w:rFonts w:eastAsia="Calibri" w:cs="Arial"/>
          <w:lang w:eastAsia="en-US"/>
        </w:rPr>
        <w:t>,</w:t>
      </w:r>
      <w:r w:rsidRPr="00534041">
        <w:rPr>
          <w:rFonts w:eastAsia="Calibri" w:cs="Arial"/>
          <w:lang w:eastAsia="en-US"/>
        </w:rPr>
        <w:t xml:space="preserve"> </w:t>
      </w:r>
      <w:r w:rsidR="00590863">
        <w:rPr>
          <w:rFonts w:eastAsia="Calibri" w:cs="Arial"/>
          <w:lang w:eastAsia="en-US"/>
        </w:rPr>
        <w:br/>
      </w:r>
      <w:r w:rsidRPr="00534041">
        <w:rPr>
          <w:rFonts w:eastAsia="Calibri" w:cs="Arial"/>
          <w:lang w:eastAsia="en-US"/>
        </w:rPr>
        <w:lastRenderedPageBreak/>
        <w:t xml:space="preserve">w zakresie odnoszącym się do sposobu realizacji, zakresu projektu </w:t>
      </w:r>
      <w:r w:rsidR="00590863">
        <w:rPr>
          <w:rFonts w:eastAsia="Calibri" w:cs="Arial"/>
          <w:lang w:eastAsia="en-US"/>
        </w:rPr>
        <w:br/>
      </w:r>
      <w:r w:rsidRPr="00534041">
        <w:rPr>
          <w:rFonts w:eastAsia="Calibri" w:cs="Arial"/>
          <w:lang w:eastAsia="en-US"/>
        </w:rPr>
        <w:t>i wnioskodawcy</w:t>
      </w:r>
      <w:r w:rsidR="00F871D0" w:rsidRPr="00534041">
        <w:rPr>
          <w:rFonts w:eastAsia="Calibri" w:cs="Arial"/>
          <w:lang w:eastAsia="en-US"/>
        </w:rPr>
        <w:t>”</w:t>
      </w:r>
      <w:r w:rsidRPr="00534041">
        <w:rPr>
          <w:rFonts w:eastAsia="Calibri" w:cs="Arial"/>
          <w:lang w:eastAsia="en-US"/>
        </w:rPr>
        <w:t>.</w:t>
      </w:r>
    </w:p>
    <w:p w14:paraId="625253A3" w14:textId="27EED069" w:rsidR="00C85B9C" w:rsidRDefault="00BA2A3A" w:rsidP="0057187F">
      <w:pPr>
        <w:numPr>
          <w:ilvl w:val="0"/>
          <w:numId w:val="12"/>
        </w:numPr>
        <w:spacing w:before="120" w:after="120" w:line="360" w:lineRule="auto"/>
        <w:rPr>
          <w:rFonts w:eastAsia="Calibri" w:cs="Arial"/>
          <w:lang w:eastAsia="en-US"/>
        </w:rPr>
      </w:pPr>
      <w:r>
        <w:rPr>
          <w:rFonts w:eastAsia="Calibri" w:cs="Arial"/>
          <w:lang w:eastAsia="en-US"/>
        </w:rPr>
        <w:t>IZ lub w</w:t>
      </w:r>
      <w:r w:rsidR="00C85B9C">
        <w:rPr>
          <w:rFonts w:eastAsia="Calibri" w:cs="Arial"/>
          <w:lang w:eastAsia="en-US"/>
        </w:rPr>
        <w:t xml:space="preserve">łaściwa instytucja w instrukcji wypełniania wniosku </w:t>
      </w:r>
      <w:r w:rsidR="004F0A4A">
        <w:rPr>
          <w:rFonts w:eastAsia="Calibri" w:cs="Arial"/>
          <w:lang w:eastAsia="en-US"/>
        </w:rPr>
        <w:t xml:space="preserve">lub w </w:t>
      </w:r>
      <w:r w:rsidR="004F0A4A" w:rsidRPr="0057187F">
        <w:rPr>
          <w:rFonts w:eastAsia="Calibri" w:cs="Arial"/>
          <w:lang w:eastAsia="en-US"/>
        </w:rPr>
        <w:t>regulamin</w:t>
      </w:r>
      <w:r w:rsidR="004F0A4A">
        <w:rPr>
          <w:rFonts w:eastAsia="Calibri" w:cs="Arial"/>
          <w:lang w:eastAsia="en-US"/>
        </w:rPr>
        <w:t>ie</w:t>
      </w:r>
      <w:r w:rsidR="004F0A4A" w:rsidRPr="0057187F">
        <w:rPr>
          <w:rFonts w:eastAsia="Calibri" w:cs="Arial"/>
          <w:lang w:eastAsia="en-US"/>
        </w:rPr>
        <w:t xml:space="preserve"> wyboru projektów</w:t>
      </w:r>
      <w:r w:rsidR="004F0A4A">
        <w:rPr>
          <w:rFonts w:eastAsia="Calibri" w:cs="Arial"/>
          <w:lang w:eastAsia="en-US"/>
        </w:rPr>
        <w:t xml:space="preserve"> </w:t>
      </w:r>
      <w:r w:rsidR="00C85B9C">
        <w:rPr>
          <w:rFonts w:eastAsia="Calibri" w:cs="Arial"/>
          <w:lang w:eastAsia="en-US"/>
        </w:rPr>
        <w:t>wskaże miejsca we wniosku o dofinansowanie, w który</w:t>
      </w:r>
      <w:r w:rsidR="00DA067E">
        <w:rPr>
          <w:rFonts w:eastAsia="Calibri" w:cs="Arial"/>
          <w:lang w:eastAsia="en-US"/>
        </w:rPr>
        <w:t xml:space="preserve">ch </w:t>
      </w:r>
      <w:r w:rsidR="00C85B9C">
        <w:rPr>
          <w:rFonts w:eastAsia="Calibri" w:cs="Arial"/>
          <w:lang w:eastAsia="en-US"/>
        </w:rPr>
        <w:t xml:space="preserve">beneficjent powinien umieścić opis zgodności projektu z zasadą równości szans i niedyskryminacji. Opis ten powinien znaleźć się w części wniosku </w:t>
      </w:r>
      <w:r w:rsidR="00590863">
        <w:rPr>
          <w:rFonts w:eastAsia="Calibri" w:cs="Arial"/>
          <w:lang w:eastAsia="en-US"/>
        </w:rPr>
        <w:br/>
      </w:r>
      <w:r w:rsidR="00C85B9C">
        <w:rPr>
          <w:rFonts w:eastAsia="Calibri" w:cs="Arial"/>
          <w:lang w:eastAsia="en-US"/>
        </w:rPr>
        <w:t>o dofinansowanie, któr</w:t>
      </w:r>
      <w:r w:rsidR="00C617B6">
        <w:rPr>
          <w:rFonts w:eastAsia="Calibri" w:cs="Arial"/>
          <w:lang w:eastAsia="en-US"/>
        </w:rPr>
        <w:t>ej zawartość</w:t>
      </w:r>
      <w:r w:rsidR="00C85B9C">
        <w:rPr>
          <w:rFonts w:eastAsia="Calibri" w:cs="Arial"/>
          <w:lang w:eastAsia="en-US"/>
        </w:rPr>
        <w:t xml:space="preserve"> przenoszona jest do</w:t>
      </w:r>
      <w:r w:rsidR="00A00C8D">
        <w:rPr>
          <w:rFonts w:eastAsia="Calibri" w:cs="Arial"/>
          <w:lang w:eastAsia="en-US"/>
        </w:rPr>
        <w:t xml:space="preserve"> </w:t>
      </w:r>
      <w:r w:rsidR="00C85B9C">
        <w:rPr>
          <w:rFonts w:eastAsia="Calibri" w:cs="Arial"/>
          <w:lang w:eastAsia="en-US"/>
        </w:rPr>
        <w:t xml:space="preserve">CST 2021 </w:t>
      </w:r>
      <w:r w:rsidR="00750B91">
        <w:rPr>
          <w:rFonts w:eastAsia="Calibri" w:cs="Arial"/>
          <w:lang w:eastAsia="en-US"/>
        </w:rPr>
        <w:br/>
      </w:r>
      <w:r w:rsidR="004F0A4A">
        <w:rPr>
          <w:rFonts w:eastAsia="Calibri" w:cs="Arial"/>
          <w:lang w:eastAsia="en-US"/>
        </w:rPr>
        <w:t>(</w:t>
      </w:r>
      <w:r w:rsidR="00C85B9C">
        <w:rPr>
          <w:rFonts w:eastAsia="Calibri" w:cs="Arial"/>
          <w:lang w:eastAsia="en-US"/>
        </w:rPr>
        <w:t>np. „opis projektu”, „zadania”</w:t>
      </w:r>
      <w:r w:rsidR="004F0A4A">
        <w:rPr>
          <w:rFonts w:eastAsia="Calibri" w:cs="Arial"/>
          <w:lang w:eastAsia="en-US"/>
        </w:rPr>
        <w:t>)</w:t>
      </w:r>
      <w:r w:rsidR="00DA067E">
        <w:rPr>
          <w:rFonts w:eastAsia="Calibri" w:cs="Arial"/>
          <w:lang w:eastAsia="en-US"/>
        </w:rPr>
        <w:t>. W przypadku braku takiej możliwości IZ wprowadza</w:t>
      </w:r>
      <w:r w:rsidR="0034588C" w:rsidRPr="00DA067E">
        <w:rPr>
          <w:rFonts w:eastAsia="Calibri" w:cs="Arial"/>
          <w:lang w:eastAsia="en-US"/>
        </w:rPr>
        <w:t xml:space="preserve"> </w:t>
      </w:r>
      <w:r w:rsidR="00DA067E" w:rsidRPr="00DA067E">
        <w:rPr>
          <w:rFonts w:eastAsia="Calibri" w:cs="Arial"/>
          <w:lang w:eastAsia="en-US"/>
        </w:rPr>
        <w:t xml:space="preserve">inne </w:t>
      </w:r>
      <w:r w:rsidR="0034588C" w:rsidRPr="00DA067E">
        <w:rPr>
          <w:rFonts w:eastAsia="Calibri" w:cs="Arial"/>
          <w:lang w:eastAsia="en-US"/>
        </w:rPr>
        <w:t>rozwiązanie</w:t>
      </w:r>
      <w:r w:rsidR="00DA067E" w:rsidRPr="00DA067E">
        <w:rPr>
          <w:rFonts w:eastAsia="Calibri" w:cs="Arial"/>
          <w:lang w:eastAsia="en-US"/>
        </w:rPr>
        <w:t>,</w:t>
      </w:r>
      <w:r w:rsidR="0034588C" w:rsidRPr="00DA067E">
        <w:rPr>
          <w:rFonts w:eastAsia="Calibri" w:cs="Arial"/>
          <w:lang w:eastAsia="en-US"/>
        </w:rPr>
        <w:t xml:space="preserve"> pozwalające na identyfikację projektów spełniających zasadę</w:t>
      </w:r>
      <w:r w:rsidR="00DA067E">
        <w:rPr>
          <w:rFonts w:eastAsia="Calibri" w:cs="Arial"/>
          <w:lang w:eastAsia="en-US"/>
        </w:rPr>
        <w:t xml:space="preserve"> </w:t>
      </w:r>
      <w:r w:rsidR="00DA067E" w:rsidRPr="00DA067E">
        <w:rPr>
          <w:rFonts w:eastAsia="Calibri" w:cs="Arial"/>
          <w:lang w:eastAsia="en-US"/>
        </w:rPr>
        <w:t>równości szans i niedyskryminacji.</w:t>
      </w:r>
      <w:r w:rsidR="00DA067E" w:rsidDel="004F0A4A">
        <w:rPr>
          <w:rFonts w:eastAsia="Calibri" w:cs="Arial"/>
          <w:lang w:eastAsia="en-US"/>
        </w:rPr>
        <w:t xml:space="preserve"> </w:t>
      </w:r>
    </w:p>
    <w:p w14:paraId="1DAEB2FC" w14:textId="20701436" w:rsidR="00C33C5C" w:rsidRDefault="00B61D6B" w:rsidP="00CC27D7">
      <w:pPr>
        <w:numPr>
          <w:ilvl w:val="0"/>
          <w:numId w:val="12"/>
        </w:numPr>
        <w:spacing w:before="120" w:after="120" w:line="360" w:lineRule="auto"/>
        <w:rPr>
          <w:rFonts w:eastAsia="Calibri" w:cs="Arial"/>
          <w:lang w:eastAsia="en-US"/>
        </w:rPr>
      </w:pPr>
      <w:r>
        <w:rPr>
          <w:rFonts w:eastAsia="Calibri" w:cs="Arial"/>
          <w:lang w:eastAsia="en-US"/>
        </w:rPr>
        <w:t xml:space="preserve">Aplikacja </w:t>
      </w:r>
      <w:r w:rsidR="00BA2A3A">
        <w:rPr>
          <w:rFonts w:eastAsia="Calibri" w:cs="Arial"/>
          <w:lang w:eastAsia="en-US"/>
        </w:rPr>
        <w:t>SL 2021</w:t>
      </w:r>
      <w:r w:rsidR="0012534B" w:rsidRPr="00CC27D7">
        <w:rPr>
          <w:rFonts w:eastAsia="Calibri" w:cs="Arial"/>
          <w:lang w:eastAsia="en-US"/>
        </w:rPr>
        <w:t xml:space="preserve"> </w:t>
      </w:r>
      <w:r>
        <w:rPr>
          <w:rFonts w:eastAsia="Calibri" w:cs="Arial"/>
          <w:lang w:eastAsia="en-US"/>
        </w:rPr>
        <w:t xml:space="preserve">funkcjonująca w CST2021 </w:t>
      </w:r>
      <w:r w:rsidR="004F0A4A">
        <w:rPr>
          <w:rFonts w:eastAsia="Calibri" w:cs="Arial"/>
          <w:lang w:eastAsia="en-US"/>
        </w:rPr>
        <w:t xml:space="preserve">zapewni </w:t>
      </w:r>
      <w:r w:rsidR="0012534B" w:rsidRPr="00CC27D7">
        <w:rPr>
          <w:rFonts w:eastAsia="Calibri" w:cs="Arial"/>
          <w:lang w:eastAsia="en-US"/>
        </w:rPr>
        <w:t xml:space="preserve">możliwość </w:t>
      </w:r>
      <w:r w:rsidR="004F0A4A">
        <w:rPr>
          <w:rFonts w:eastAsia="Calibri" w:cs="Arial"/>
          <w:lang w:eastAsia="en-US"/>
        </w:rPr>
        <w:t>określania</w:t>
      </w:r>
      <w:r w:rsidR="0012534B" w:rsidRPr="00CC27D7">
        <w:rPr>
          <w:rFonts w:eastAsia="Calibri" w:cs="Arial"/>
          <w:lang w:eastAsia="en-US"/>
        </w:rPr>
        <w:t xml:space="preserve"> wydatków w projekcie przeznaczonych na zapewnianie dostępności. </w:t>
      </w:r>
      <w:r w:rsidR="00590863">
        <w:rPr>
          <w:rFonts w:eastAsia="Calibri" w:cs="Arial"/>
          <w:lang w:eastAsia="en-US"/>
        </w:rPr>
        <w:br/>
      </w:r>
      <w:r w:rsidR="00CC27D7" w:rsidRPr="00CC27D7">
        <w:rPr>
          <w:rFonts w:eastAsia="Calibri" w:cs="Arial"/>
          <w:lang w:eastAsia="en-US"/>
        </w:rPr>
        <w:t>Służy temu dedykowany limit pn. „Wydatki na dostępność”</w:t>
      </w:r>
      <w:r w:rsidR="00CC27D7">
        <w:rPr>
          <w:rFonts w:eastAsia="Calibri" w:cs="Arial"/>
          <w:lang w:eastAsia="en-US"/>
        </w:rPr>
        <w:t>.</w:t>
      </w:r>
    </w:p>
    <w:p w14:paraId="66C3B4D2" w14:textId="2E9A2E51" w:rsidR="0012534B" w:rsidRPr="004F0A4A" w:rsidRDefault="00CC27D7">
      <w:pPr>
        <w:numPr>
          <w:ilvl w:val="0"/>
          <w:numId w:val="12"/>
        </w:numPr>
        <w:spacing w:before="120" w:after="120" w:line="360" w:lineRule="auto"/>
        <w:rPr>
          <w:rFonts w:eastAsia="Calibri" w:cs="Arial"/>
          <w:lang w:eastAsia="en-US"/>
        </w:rPr>
      </w:pPr>
      <w:r>
        <w:rPr>
          <w:rFonts w:eastAsia="Calibri" w:cs="Arial"/>
          <w:lang w:eastAsia="en-US"/>
        </w:rPr>
        <w:t xml:space="preserve"> </w:t>
      </w:r>
      <w:r w:rsidRPr="00CC27D7">
        <w:rPr>
          <w:rFonts w:eastAsia="Calibri" w:cs="Arial"/>
          <w:lang w:eastAsia="en-US"/>
        </w:rPr>
        <w:t xml:space="preserve">IZ </w:t>
      </w:r>
      <w:r w:rsidR="00BA2A3A">
        <w:rPr>
          <w:rFonts w:eastAsia="Calibri" w:cs="Arial"/>
          <w:lang w:eastAsia="en-US"/>
        </w:rPr>
        <w:t xml:space="preserve">lub właściwa instytucja </w:t>
      </w:r>
      <w:r w:rsidR="004F0A4A">
        <w:rPr>
          <w:rFonts w:eastAsia="Calibri" w:cs="Arial"/>
          <w:lang w:eastAsia="en-US"/>
        </w:rPr>
        <w:t>umożliwia</w:t>
      </w:r>
      <w:r w:rsidR="00BA2A3A">
        <w:rPr>
          <w:rFonts w:eastAsia="Calibri" w:cs="Arial"/>
          <w:lang w:eastAsia="en-US"/>
        </w:rPr>
        <w:t xml:space="preserve"> </w:t>
      </w:r>
      <w:r w:rsidR="0012534B" w:rsidRPr="00BA2A3A">
        <w:rPr>
          <w:rFonts w:eastAsia="Calibri" w:cs="Arial"/>
          <w:lang w:eastAsia="en-US"/>
        </w:rPr>
        <w:t>wskazywani</w:t>
      </w:r>
      <w:r w:rsidR="00BA2A3A">
        <w:rPr>
          <w:rFonts w:eastAsia="Calibri" w:cs="Arial"/>
          <w:lang w:eastAsia="en-US"/>
        </w:rPr>
        <w:t>e</w:t>
      </w:r>
      <w:r w:rsidR="0012534B" w:rsidRPr="00BA2A3A">
        <w:rPr>
          <w:rFonts w:eastAsia="Calibri" w:cs="Arial"/>
          <w:lang w:eastAsia="en-US"/>
        </w:rPr>
        <w:t xml:space="preserve"> takich wydatków w ramach </w:t>
      </w:r>
      <w:r w:rsidR="00BA2A3A">
        <w:rPr>
          <w:rFonts w:eastAsia="Calibri" w:cs="Arial"/>
          <w:lang w:eastAsia="en-US"/>
        </w:rPr>
        <w:t>narzędzia</w:t>
      </w:r>
      <w:r w:rsidR="00FB7C92">
        <w:rPr>
          <w:rFonts w:eastAsia="Calibri" w:cs="Arial"/>
          <w:lang w:eastAsia="en-US"/>
        </w:rPr>
        <w:t xml:space="preserve"> </w:t>
      </w:r>
      <w:r w:rsidR="00BA2A3A">
        <w:rPr>
          <w:rFonts w:eastAsia="Calibri" w:cs="Arial"/>
          <w:lang w:eastAsia="en-US"/>
        </w:rPr>
        <w:t xml:space="preserve">przeznaczonego </w:t>
      </w:r>
      <w:r w:rsidR="0012534B" w:rsidRPr="00BA2A3A">
        <w:rPr>
          <w:rFonts w:eastAsia="Calibri" w:cs="Arial"/>
          <w:lang w:eastAsia="en-US"/>
        </w:rPr>
        <w:t>do składania wniosków o dofinansowanie</w:t>
      </w:r>
      <w:r w:rsidR="00BA2A3A">
        <w:rPr>
          <w:rStyle w:val="Odwoanieprzypisudolnego"/>
          <w:rFonts w:eastAsia="Calibri"/>
          <w:lang w:eastAsia="en-US"/>
        </w:rPr>
        <w:footnoteReference w:id="31"/>
      </w:r>
      <w:r w:rsidR="00EB67DF">
        <w:rPr>
          <w:rFonts w:eastAsia="Calibri" w:cs="Arial"/>
          <w:lang w:eastAsia="en-US"/>
        </w:rPr>
        <w:t>,</w:t>
      </w:r>
      <w:r w:rsidR="00FB7C92">
        <w:rPr>
          <w:rFonts w:eastAsia="Calibri" w:cs="Arial"/>
          <w:lang w:eastAsia="en-US"/>
        </w:rPr>
        <w:t xml:space="preserve"> poprzez </w:t>
      </w:r>
      <w:r w:rsidRPr="00CC27D7">
        <w:rPr>
          <w:rFonts w:eastAsia="Calibri" w:cs="Arial"/>
          <w:lang w:eastAsia="en-US"/>
        </w:rPr>
        <w:t>przyporządkowanie do każdego programu na poziomie administracyjnym SL2021</w:t>
      </w:r>
      <w:r w:rsidR="00C33C5C">
        <w:rPr>
          <w:rFonts w:eastAsia="Calibri" w:cs="Arial"/>
          <w:lang w:eastAsia="en-US"/>
        </w:rPr>
        <w:t xml:space="preserve"> pola</w:t>
      </w:r>
      <w:r w:rsidR="00BA2A3A">
        <w:rPr>
          <w:rFonts w:eastAsia="Calibri" w:cs="Arial"/>
          <w:lang w:eastAsia="en-US"/>
        </w:rPr>
        <w:t xml:space="preserve"> </w:t>
      </w:r>
      <w:r w:rsidR="00BA2A3A" w:rsidRPr="00095AC3">
        <w:rPr>
          <w:rFonts w:eastAsia="Calibri" w:cs="Arial"/>
          <w:lang w:eastAsia="en-US"/>
        </w:rPr>
        <w:t>„Wydatki na dostępność”</w:t>
      </w:r>
      <w:r w:rsidR="004F0A4A" w:rsidRPr="004F0A4A">
        <w:rPr>
          <w:rStyle w:val="Odwoanieprzypisudolnego"/>
          <w:rFonts w:eastAsia="Calibri"/>
          <w:lang w:eastAsia="en-US"/>
        </w:rPr>
        <w:t xml:space="preserve"> </w:t>
      </w:r>
      <w:r w:rsidR="004F0A4A">
        <w:rPr>
          <w:rStyle w:val="Odwoanieprzypisudolnego"/>
          <w:rFonts w:eastAsia="Calibri"/>
          <w:lang w:eastAsia="en-US"/>
        </w:rPr>
        <w:footnoteReference w:id="32"/>
      </w:r>
      <w:r w:rsidR="004F0A4A">
        <w:rPr>
          <w:rFonts w:eastAsia="Calibri" w:cs="Arial"/>
          <w:lang w:eastAsia="en-US"/>
        </w:rPr>
        <w:t xml:space="preserve">. </w:t>
      </w:r>
      <w:r w:rsidR="009E7ED7" w:rsidRPr="004F0A4A">
        <w:rPr>
          <w:rFonts w:eastAsia="Calibri" w:cs="Arial"/>
          <w:lang w:eastAsia="en-US"/>
        </w:rPr>
        <w:t>IZ lub właściwa instytucja w instrukcji wypełniania wniosku o dofinansowanie lub w regulamin</w:t>
      </w:r>
      <w:r w:rsidR="004F0A4A" w:rsidRPr="004F0A4A">
        <w:rPr>
          <w:rFonts w:eastAsia="Calibri" w:cs="Arial"/>
          <w:lang w:eastAsia="en-US"/>
        </w:rPr>
        <w:t>ie</w:t>
      </w:r>
      <w:r w:rsidR="009E7ED7" w:rsidRPr="004F0A4A">
        <w:rPr>
          <w:rFonts w:eastAsia="Calibri" w:cs="Arial"/>
          <w:lang w:eastAsia="en-US"/>
        </w:rPr>
        <w:t xml:space="preserve"> wyboru projektów umieścić wskazówki dotyczące </w:t>
      </w:r>
      <w:r w:rsidR="00FB7C92" w:rsidRPr="004F0A4A">
        <w:rPr>
          <w:rFonts w:eastAsia="Calibri" w:cs="Arial"/>
          <w:lang w:eastAsia="en-US"/>
        </w:rPr>
        <w:t xml:space="preserve">używania </w:t>
      </w:r>
      <w:r w:rsidR="00590863">
        <w:rPr>
          <w:rFonts w:eastAsia="Calibri" w:cs="Arial"/>
          <w:lang w:eastAsia="en-US"/>
        </w:rPr>
        <w:br/>
      </w:r>
      <w:r w:rsidR="00FB7C92" w:rsidRPr="004F0A4A">
        <w:rPr>
          <w:rFonts w:eastAsia="Calibri" w:cs="Arial"/>
          <w:lang w:eastAsia="en-US"/>
        </w:rPr>
        <w:t>ww. pola</w:t>
      </w:r>
      <w:r w:rsidR="004F0A4A" w:rsidRPr="004F0A4A">
        <w:rPr>
          <w:rFonts w:eastAsia="Calibri" w:cs="Arial"/>
          <w:lang w:eastAsia="en-US"/>
        </w:rPr>
        <w:t>,</w:t>
      </w:r>
      <w:r w:rsidR="00FB7C92" w:rsidRPr="004F0A4A">
        <w:rPr>
          <w:rFonts w:eastAsia="Calibri" w:cs="Arial"/>
          <w:lang w:eastAsia="en-US"/>
        </w:rPr>
        <w:t xml:space="preserve"> w tym </w:t>
      </w:r>
      <w:r w:rsidR="004F0A4A">
        <w:rPr>
          <w:rFonts w:eastAsia="Calibri" w:cs="Arial"/>
          <w:lang w:eastAsia="en-US"/>
        </w:rPr>
        <w:t xml:space="preserve">kryteria </w:t>
      </w:r>
      <w:r w:rsidR="009E7ED7" w:rsidRPr="004F0A4A">
        <w:rPr>
          <w:rFonts w:eastAsia="Calibri" w:cs="Arial"/>
          <w:lang w:eastAsia="en-US"/>
        </w:rPr>
        <w:t>uznawania wydatku za związany z dostępnością</w:t>
      </w:r>
      <w:r w:rsidR="004E79A6">
        <w:rPr>
          <w:rStyle w:val="Odwoanieprzypisudolnego"/>
          <w:rFonts w:eastAsia="Calibri"/>
          <w:lang w:eastAsia="en-US"/>
        </w:rPr>
        <w:footnoteReference w:id="33"/>
      </w:r>
      <w:r w:rsidR="009E7ED7" w:rsidRPr="004F0A4A">
        <w:rPr>
          <w:rFonts w:eastAsia="Calibri" w:cs="Arial"/>
          <w:lang w:eastAsia="en-US"/>
        </w:rPr>
        <w:t xml:space="preserve">. </w:t>
      </w:r>
    </w:p>
    <w:p w14:paraId="0E31627A" w14:textId="42DA3566" w:rsidR="001D2311" w:rsidRPr="0057187F" w:rsidRDefault="001D2311" w:rsidP="0057187F">
      <w:pPr>
        <w:numPr>
          <w:ilvl w:val="0"/>
          <w:numId w:val="12"/>
        </w:numPr>
        <w:spacing w:before="120" w:after="120" w:line="360" w:lineRule="auto"/>
        <w:rPr>
          <w:rFonts w:eastAsia="Calibri" w:cs="Arial"/>
          <w:lang w:eastAsia="en-US"/>
        </w:rPr>
      </w:pPr>
      <w:r w:rsidRPr="0057187F">
        <w:rPr>
          <w:rFonts w:eastAsia="Calibri" w:cs="Arial"/>
          <w:lang w:eastAsia="en-US"/>
        </w:rPr>
        <w:t>Właściwa instytucja weryfikuje informacje zawarte przez wnioskodawcę we wniosku o dofinansowanie projektu. Minimalnym wymogiem jest umieszczenie w formularzu oceny (np. karcie oceny projektu lub w</w:t>
      </w:r>
      <w:r w:rsidR="00A00C8D">
        <w:rPr>
          <w:rFonts w:eastAsia="Calibri" w:cs="Arial"/>
          <w:lang w:eastAsia="en-US"/>
        </w:rPr>
        <w:t xml:space="preserve"> odpowiednim</w:t>
      </w:r>
      <w:r w:rsidRPr="0057187F">
        <w:rPr>
          <w:rFonts w:eastAsia="Calibri" w:cs="Arial"/>
          <w:lang w:eastAsia="en-US"/>
        </w:rPr>
        <w:t xml:space="preserve"> systemie </w:t>
      </w:r>
      <w:r w:rsidR="00A00C8D">
        <w:rPr>
          <w:rFonts w:eastAsia="Calibri" w:cs="Arial"/>
          <w:lang w:eastAsia="en-US"/>
        </w:rPr>
        <w:t>tele</w:t>
      </w:r>
      <w:r w:rsidRPr="0057187F">
        <w:rPr>
          <w:rFonts w:eastAsia="Calibri" w:cs="Arial"/>
          <w:lang w:eastAsia="en-US"/>
        </w:rPr>
        <w:t xml:space="preserve">informatycznym) minimum jednego pytania/kryterium oceniającego </w:t>
      </w:r>
      <w:r w:rsidR="003D0637">
        <w:rPr>
          <w:rFonts w:eastAsia="Calibri" w:cs="Arial"/>
          <w:lang w:eastAsia="en-US"/>
        </w:rPr>
        <w:lastRenderedPageBreak/>
        <w:t>zgodność z</w:t>
      </w:r>
      <w:r w:rsidR="003D0637" w:rsidRPr="0057187F">
        <w:rPr>
          <w:rFonts w:eastAsia="Calibri" w:cs="Arial"/>
          <w:lang w:eastAsia="en-US"/>
        </w:rPr>
        <w:t xml:space="preserve"> </w:t>
      </w:r>
      <w:r w:rsidRPr="0057187F">
        <w:rPr>
          <w:rFonts w:eastAsia="Calibri" w:cs="Arial"/>
          <w:lang w:eastAsia="en-US"/>
        </w:rPr>
        <w:t>zasad</w:t>
      </w:r>
      <w:r w:rsidR="003D0637">
        <w:rPr>
          <w:rFonts w:eastAsia="Calibri" w:cs="Arial"/>
          <w:lang w:eastAsia="en-US"/>
        </w:rPr>
        <w:t>ą</w:t>
      </w:r>
      <w:r w:rsidRPr="0057187F">
        <w:rPr>
          <w:rFonts w:eastAsia="Calibri" w:cs="Arial"/>
          <w:lang w:eastAsia="en-US"/>
        </w:rPr>
        <w:t xml:space="preserve"> równości szans i niedyskryminacji (weryfikacja na podstawie zgodności z odpowiednim horyzontalnym kryterium wyboru projektów).</w:t>
      </w:r>
    </w:p>
    <w:p w14:paraId="179BAAC7" w14:textId="6BEFAEEB" w:rsidR="001D2311" w:rsidRPr="0057187F" w:rsidRDefault="001D2311" w:rsidP="0057187F">
      <w:pPr>
        <w:numPr>
          <w:ilvl w:val="0"/>
          <w:numId w:val="12"/>
        </w:numPr>
        <w:spacing w:before="120" w:after="120" w:line="360" w:lineRule="auto"/>
        <w:rPr>
          <w:rFonts w:eastAsia="Calibri" w:cs="Arial"/>
          <w:lang w:eastAsia="en-US"/>
        </w:rPr>
      </w:pPr>
      <w:r w:rsidRPr="0057187F">
        <w:rPr>
          <w:rFonts w:cs="Arial"/>
          <w:szCs w:val="28"/>
        </w:rPr>
        <w:t xml:space="preserve">W przypadku projektów, do których będą miały zastosowanie standardy dostępności dla polityki spójności 2021–2027 weryfikacja, o której mowa </w:t>
      </w:r>
      <w:r w:rsidR="00590863">
        <w:rPr>
          <w:rFonts w:cs="Arial"/>
          <w:szCs w:val="28"/>
        </w:rPr>
        <w:br/>
      </w:r>
      <w:r w:rsidRPr="0057187F">
        <w:rPr>
          <w:rFonts w:cs="Arial"/>
          <w:szCs w:val="28"/>
        </w:rPr>
        <w:t>w pkt</w:t>
      </w:r>
      <w:r w:rsidR="008660B9">
        <w:rPr>
          <w:rFonts w:cs="Arial"/>
          <w:szCs w:val="28"/>
        </w:rPr>
        <w:t>.</w:t>
      </w:r>
      <w:r w:rsidRPr="0057187F">
        <w:rPr>
          <w:rFonts w:cs="Arial"/>
          <w:szCs w:val="28"/>
        </w:rPr>
        <w:t xml:space="preserve"> 3, polega na sprawdzeniu zgodności założeń wniosku o dofinansowanie projektu z wymaganiami określonymi dla tych standardów.</w:t>
      </w:r>
    </w:p>
    <w:p w14:paraId="49F36092" w14:textId="77777777" w:rsidR="001D2311" w:rsidRPr="0057187F" w:rsidRDefault="001D2311" w:rsidP="0057187F">
      <w:pPr>
        <w:numPr>
          <w:ilvl w:val="0"/>
          <w:numId w:val="12"/>
        </w:numPr>
        <w:spacing w:before="120" w:after="120" w:line="360" w:lineRule="auto"/>
        <w:rPr>
          <w:rFonts w:eastAsia="Calibri" w:cs="Arial"/>
          <w:lang w:eastAsia="en-US"/>
        </w:rPr>
      </w:pPr>
      <w:r w:rsidRPr="0057187F">
        <w:rPr>
          <w:rFonts w:eastAsia="Calibri" w:cs="Arial"/>
          <w:lang w:eastAsia="en-US"/>
        </w:rPr>
        <w:t>IZ lub inna, właściwa instytucja przygotowująca regulamin wyboru projektów może wprowadzić dodatkowe preferencje lub wymagania dla projektu lub jego produktów (w tym także usług). Mogą one być zapewnione w szczególności poprzez:</w:t>
      </w:r>
    </w:p>
    <w:p w14:paraId="18CC976F" w14:textId="651650E0" w:rsidR="001D2311" w:rsidRPr="0057187F" w:rsidRDefault="001D2311" w:rsidP="0057187F">
      <w:pPr>
        <w:numPr>
          <w:ilvl w:val="0"/>
          <w:numId w:val="11"/>
        </w:numPr>
        <w:spacing w:before="120" w:after="120" w:line="360" w:lineRule="auto"/>
        <w:rPr>
          <w:rFonts w:eastAsia="Calibri" w:cs="Arial"/>
          <w:lang w:eastAsia="en-US"/>
        </w:rPr>
      </w:pPr>
      <w:r w:rsidRPr="0057187F">
        <w:rPr>
          <w:rFonts w:eastAsia="Calibri" w:cs="Arial"/>
          <w:lang w:eastAsia="en-US"/>
        </w:rPr>
        <w:t xml:space="preserve">rekomendowanie komitetowi monitorującemu do zatwierdzenia kryteriów wyboru projektów, określających parametry (na przykład techniczne) </w:t>
      </w:r>
      <w:r w:rsidR="00590863">
        <w:rPr>
          <w:rFonts w:eastAsia="Calibri" w:cs="Arial"/>
          <w:lang w:eastAsia="en-US"/>
        </w:rPr>
        <w:br/>
      </w:r>
      <w:r w:rsidRPr="0057187F">
        <w:rPr>
          <w:rFonts w:eastAsia="Calibri" w:cs="Arial"/>
          <w:lang w:eastAsia="en-US"/>
        </w:rPr>
        <w:t>w zakresie nieuregulowanym przepisami prawa oraz standardami dostępności dla polityki spójności 2021–2027;</w:t>
      </w:r>
    </w:p>
    <w:p w14:paraId="7BDA415B" w14:textId="5AE3527A" w:rsidR="001D2311" w:rsidRPr="0057187F" w:rsidRDefault="001D2311" w:rsidP="0057187F">
      <w:pPr>
        <w:numPr>
          <w:ilvl w:val="0"/>
          <w:numId w:val="11"/>
        </w:numPr>
        <w:spacing w:before="120" w:after="120" w:line="360" w:lineRule="auto"/>
        <w:rPr>
          <w:rFonts w:eastAsia="Calibri" w:cs="Arial"/>
          <w:lang w:eastAsia="en-US"/>
        </w:rPr>
      </w:pPr>
      <w:r w:rsidRPr="0057187F">
        <w:rPr>
          <w:rFonts w:eastAsia="Calibri" w:cs="Arial"/>
          <w:lang w:eastAsia="en-US"/>
        </w:rPr>
        <w:t>wymaganie opisu dostępności inwestycji finansowanej ze środków projektu;</w:t>
      </w:r>
    </w:p>
    <w:p w14:paraId="7F0A3D8F" w14:textId="77777777" w:rsidR="001D2311" w:rsidRPr="0057187F" w:rsidRDefault="001D2311" w:rsidP="0057187F">
      <w:pPr>
        <w:numPr>
          <w:ilvl w:val="0"/>
          <w:numId w:val="11"/>
        </w:numPr>
        <w:spacing w:before="120" w:after="120" w:line="360" w:lineRule="auto"/>
        <w:rPr>
          <w:rFonts w:eastAsia="Calibri" w:cs="Arial"/>
          <w:lang w:eastAsia="en-US"/>
        </w:rPr>
      </w:pPr>
      <w:r w:rsidRPr="0057187F">
        <w:rPr>
          <w:rFonts w:eastAsia="Calibri" w:cs="Arial"/>
          <w:lang w:eastAsia="en-US"/>
        </w:rPr>
        <w:t>zobowiązanie do włączenia osób z niepełnosprawnościami lub organizacji działających na rzecz osób z niepełnosprawnościami w proces planowania lub realizacji projektu;</w:t>
      </w:r>
    </w:p>
    <w:p w14:paraId="6B3ED51D" w14:textId="4BD8CDE3" w:rsidR="00AA6ED9" w:rsidRDefault="00E160AD" w:rsidP="0057187F">
      <w:pPr>
        <w:numPr>
          <w:ilvl w:val="0"/>
          <w:numId w:val="11"/>
        </w:numPr>
        <w:spacing w:before="120" w:after="120" w:line="360" w:lineRule="auto"/>
        <w:rPr>
          <w:rFonts w:eastAsia="Calibri" w:cs="Arial"/>
          <w:lang w:eastAsia="en-US"/>
        </w:rPr>
      </w:pPr>
      <w:r>
        <w:rPr>
          <w:rFonts w:eastAsia="Calibri" w:cs="Arial"/>
          <w:lang w:eastAsia="en-US"/>
        </w:rPr>
        <w:t>preferowanie włączenia</w:t>
      </w:r>
      <w:r w:rsidR="001D2311" w:rsidRPr="0057187F">
        <w:rPr>
          <w:rFonts w:eastAsia="Calibri" w:cs="Arial"/>
          <w:lang w:eastAsia="en-US"/>
        </w:rPr>
        <w:t xml:space="preserve"> osób z niepełnosprawnościami jako personelu projektu</w:t>
      </w:r>
      <w:r>
        <w:rPr>
          <w:rFonts w:eastAsia="Calibri" w:cs="Arial"/>
          <w:lang w:eastAsia="en-US"/>
        </w:rPr>
        <w:t xml:space="preserve"> – pod warunkiem spełniania wymagań określonych dla ich funkcji</w:t>
      </w:r>
      <w:r w:rsidR="00AA6ED9">
        <w:rPr>
          <w:rFonts w:eastAsia="Calibri" w:cs="Arial"/>
          <w:lang w:eastAsia="en-US"/>
        </w:rPr>
        <w:t>;</w:t>
      </w:r>
    </w:p>
    <w:p w14:paraId="59C77340" w14:textId="575F4FBC" w:rsidR="001D2311" w:rsidRPr="0057187F" w:rsidRDefault="00AA6ED9" w:rsidP="0057187F">
      <w:pPr>
        <w:numPr>
          <w:ilvl w:val="0"/>
          <w:numId w:val="11"/>
        </w:numPr>
        <w:spacing w:before="120" w:after="120" w:line="360" w:lineRule="auto"/>
        <w:rPr>
          <w:rFonts w:eastAsia="Calibri" w:cs="Arial"/>
          <w:lang w:eastAsia="en-US"/>
        </w:rPr>
      </w:pPr>
      <w:r w:rsidRPr="00AA6ED9">
        <w:rPr>
          <w:rFonts w:eastAsia="Calibri" w:cs="Arial"/>
          <w:lang w:eastAsia="en-US"/>
        </w:rPr>
        <w:t>zobowiązanie do wykonania audytu dostępności (cyfrowej,</w:t>
      </w:r>
      <w:r>
        <w:rPr>
          <w:rFonts w:eastAsia="Calibri" w:cs="Arial"/>
          <w:lang w:eastAsia="en-US"/>
        </w:rPr>
        <w:t xml:space="preserve"> </w:t>
      </w:r>
      <w:r w:rsidRPr="00AA6ED9">
        <w:rPr>
          <w:rFonts w:eastAsia="Calibri" w:cs="Arial"/>
          <w:lang w:eastAsia="en-US"/>
        </w:rPr>
        <w:t>architektonicznej lub informacyjno-komunikacyjnej) w celu zweryfikowania osiągnięcia zakładanego produktu.</w:t>
      </w:r>
    </w:p>
    <w:p w14:paraId="47B2E28F" w14:textId="67AAB02A" w:rsidR="00377B64" w:rsidRDefault="001D2311" w:rsidP="00DA067E">
      <w:pPr>
        <w:pStyle w:val="Akapitzlist"/>
        <w:numPr>
          <w:ilvl w:val="0"/>
          <w:numId w:val="12"/>
        </w:numPr>
        <w:spacing w:before="120" w:after="120" w:line="360" w:lineRule="auto"/>
        <w:ind w:left="851" w:hanging="502"/>
        <w:rPr>
          <w:rFonts w:eastAsia="Calibri" w:cs="Arial"/>
          <w:lang w:eastAsia="en-US"/>
        </w:rPr>
      </w:pPr>
      <w:r w:rsidRPr="00377B64">
        <w:rPr>
          <w:rFonts w:eastAsia="Calibri" w:cs="Arial"/>
          <w:lang w:eastAsia="en-US"/>
        </w:rPr>
        <w:t>Zgodnie z przepisami dotyczącymi zamówień publicznych, przy realizacji zamówień publicznych,</w:t>
      </w:r>
      <w:r w:rsidRPr="0057187F">
        <w:rPr>
          <w:rFonts w:eastAsia="Calibri" w:cs="Arial"/>
          <w:lang w:eastAsia="en-US"/>
        </w:rPr>
        <w:t xml:space="preserve"> których</w:t>
      </w:r>
      <w:r w:rsidR="009D6D31">
        <w:rPr>
          <w:rFonts w:eastAsia="Calibri" w:cs="Arial"/>
          <w:lang w:eastAsia="en-US"/>
        </w:rPr>
        <w:t xml:space="preserve"> </w:t>
      </w:r>
      <w:r w:rsidR="009D6D31" w:rsidRPr="009D6D31">
        <w:rPr>
          <w:rFonts w:eastAsia="Calibri" w:cs="Arial"/>
          <w:lang w:eastAsia="en-US"/>
        </w:rPr>
        <w:t>szacunkowa wartość zamówienia przekracza 130 tys. zł oraz</w:t>
      </w:r>
      <w:r w:rsidRPr="0057187F">
        <w:rPr>
          <w:rFonts w:eastAsia="Calibri" w:cs="Arial"/>
          <w:lang w:eastAsia="en-US"/>
        </w:rPr>
        <w:t xml:space="preserve"> przedmiotem są dostawy lub usługi przeznaczone do użytku osób fizycznych, beneficjent sporządza opis przedmiotu zamówienia </w:t>
      </w:r>
      <w:r w:rsidR="00590863">
        <w:rPr>
          <w:rFonts w:eastAsia="Calibri" w:cs="Arial"/>
          <w:lang w:eastAsia="en-US"/>
        </w:rPr>
        <w:br/>
      </w:r>
      <w:r w:rsidRPr="0057187F">
        <w:rPr>
          <w:rFonts w:eastAsia="Calibri" w:cs="Arial"/>
          <w:lang w:eastAsia="en-US"/>
        </w:rPr>
        <w:t xml:space="preserve">z uwzględnieniem wymagań w zakresie dostępności dla osób </w:t>
      </w:r>
      <w:r w:rsidR="00590863">
        <w:rPr>
          <w:rFonts w:eastAsia="Calibri" w:cs="Arial"/>
          <w:lang w:eastAsia="en-US"/>
        </w:rPr>
        <w:br/>
      </w:r>
      <w:r w:rsidRPr="0057187F">
        <w:rPr>
          <w:rFonts w:eastAsia="Calibri" w:cs="Arial"/>
          <w:lang w:eastAsia="en-US"/>
        </w:rPr>
        <w:t>z niepełnosprawnościami oraz projektowania uniwersalnego</w:t>
      </w:r>
      <w:r w:rsidR="009D6D31">
        <w:rPr>
          <w:rFonts w:eastAsia="Calibri" w:cs="Arial"/>
          <w:lang w:eastAsia="en-US"/>
        </w:rPr>
        <w:t>.</w:t>
      </w:r>
      <w:r w:rsidRPr="0057187F">
        <w:rPr>
          <w:rFonts w:eastAsia="Calibri" w:cs="Arial"/>
          <w:lang w:eastAsia="en-US"/>
        </w:rPr>
        <w:t xml:space="preserve"> </w:t>
      </w:r>
      <w:r w:rsidR="009D6D31">
        <w:rPr>
          <w:rFonts w:eastAsia="Calibri" w:cs="Arial"/>
          <w:lang w:eastAsia="en-US"/>
        </w:rPr>
        <w:t>C</w:t>
      </w:r>
      <w:r w:rsidRPr="0057187F">
        <w:rPr>
          <w:rFonts w:eastAsia="Calibri" w:cs="Arial"/>
          <w:lang w:eastAsia="en-US"/>
        </w:rPr>
        <w:t xml:space="preserve">hyba, że nie </w:t>
      </w:r>
      <w:r w:rsidRPr="0057187F">
        <w:rPr>
          <w:rFonts w:eastAsia="Calibri" w:cs="Arial"/>
          <w:lang w:eastAsia="en-US"/>
        </w:rPr>
        <w:lastRenderedPageBreak/>
        <w:t>jest to uzasadnione charakterem przedmiotu zamówienia. Dodatkowo, IZ lub inna, właściwa instytucja przygotowująca regulamin wyboru projektów może wymagać uwzględnienia aspektów społecznych</w:t>
      </w:r>
      <w:r w:rsidRPr="0057187F">
        <w:rPr>
          <w:rFonts w:eastAsia="Calibri" w:cs="Arial"/>
          <w:vertAlign w:val="superscript"/>
          <w:lang w:eastAsia="en-US"/>
        </w:rPr>
        <w:footnoteReference w:id="34"/>
      </w:r>
      <w:r w:rsidRPr="0057187F">
        <w:rPr>
          <w:rFonts w:eastAsia="Calibri" w:cs="Arial"/>
          <w:lang w:eastAsia="en-US"/>
        </w:rPr>
        <w:t xml:space="preserve"> w zakresie zatrudniania osób z niepełnosprawnościami.</w:t>
      </w:r>
      <w:r w:rsidR="009D6D31">
        <w:rPr>
          <w:rFonts w:eastAsia="Calibri" w:cs="Arial"/>
          <w:lang w:eastAsia="en-US"/>
        </w:rPr>
        <w:t xml:space="preserve"> </w:t>
      </w:r>
    </w:p>
    <w:p w14:paraId="0AE0E512" w14:textId="13633146" w:rsidR="009D6D31" w:rsidRPr="009D6D31" w:rsidRDefault="009D6D31" w:rsidP="00DA067E">
      <w:pPr>
        <w:pStyle w:val="Akapitzlist"/>
        <w:numPr>
          <w:ilvl w:val="0"/>
          <w:numId w:val="12"/>
        </w:numPr>
        <w:spacing w:before="120" w:after="120" w:line="360" w:lineRule="auto"/>
        <w:ind w:left="851" w:hanging="491"/>
        <w:rPr>
          <w:rFonts w:eastAsia="Calibri" w:cs="Arial"/>
          <w:lang w:eastAsia="en-US"/>
        </w:rPr>
      </w:pPr>
      <w:r>
        <w:rPr>
          <w:rFonts w:eastAsia="Calibri" w:cs="Arial"/>
          <w:lang w:eastAsia="en-US"/>
        </w:rPr>
        <w:t>W</w:t>
      </w:r>
      <w:r w:rsidRPr="009D6D31">
        <w:rPr>
          <w:rFonts w:eastAsia="Calibri" w:cs="Arial"/>
          <w:lang w:eastAsia="en-US"/>
        </w:rPr>
        <w:t xml:space="preserve"> zamówieniach </w:t>
      </w:r>
      <w:r>
        <w:rPr>
          <w:rFonts w:eastAsia="Calibri" w:cs="Arial"/>
          <w:lang w:eastAsia="en-US"/>
        </w:rPr>
        <w:t xml:space="preserve">o szacunkowej wartości </w:t>
      </w:r>
      <w:r w:rsidRPr="009D6D31">
        <w:rPr>
          <w:rFonts w:eastAsia="Calibri" w:cs="Arial"/>
          <w:lang w:eastAsia="en-US"/>
        </w:rPr>
        <w:t>poniże</w:t>
      </w:r>
      <w:r>
        <w:rPr>
          <w:rFonts w:eastAsia="Calibri" w:cs="Arial"/>
          <w:lang w:eastAsia="en-US"/>
        </w:rPr>
        <w:t xml:space="preserve">j </w:t>
      </w:r>
      <w:r w:rsidRPr="009D6D31">
        <w:rPr>
          <w:rFonts w:eastAsia="Calibri" w:cs="Arial"/>
          <w:lang w:eastAsia="en-US"/>
        </w:rPr>
        <w:t>130 tys</w:t>
      </w:r>
      <w:r>
        <w:rPr>
          <w:rFonts w:eastAsia="Calibri" w:cs="Arial"/>
          <w:lang w:eastAsia="en-US"/>
        </w:rPr>
        <w:t>.</w:t>
      </w:r>
      <w:r w:rsidRPr="009D6D31">
        <w:rPr>
          <w:rFonts w:eastAsia="Calibri" w:cs="Arial"/>
          <w:lang w:eastAsia="en-US"/>
        </w:rPr>
        <w:t xml:space="preserve"> zł</w:t>
      </w:r>
      <w:r w:rsidR="00377B64">
        <w:rPr>
          <w:rFonts w:eastAsia="Calibri" w:cs="Arial"/>
          <w:lang w:eastAsia="en-US"/>
        </w:rPr>
        <w:t>,</w:t>
      </w:r>
      <w:r w:rsidRPr="009D6D31">
        <w:rPr>
          <w:rFonts w:eastAsia="Calibri" w:cs="Arial"/>
          <w:lang w:eastAsia="en-US"/>
        </w:rPr>
        <w:t xml:space="preserve"> IZ może </w:t>
      </w:r>
      <w:r w:rsidR="00377B64">
        <w:rPr>
          <w:rFonts w:eastAsia="Calibri" w:cs="Arial"/>
          <w:lang w:eastAsia="en-US"/>
        </w:rPr>
        <w:t xml:space="preserve">również </w:t>
      </w:r>
      <w:r w:rsidRPr="009D6D31">
        <w:rPr>
          <w:rFonts w:eastAsia="Calibri" w:cs="Arial"/>
          <w:lang w:eastAsia="en-US"/>
        </w:rPr>
        <w:t>przyjąć takie rozwiązania</w:t>
      </w:r>
      <w:r>
        <w:rPr>
          <w:rFonts w:eastAsia="Calibri" w:cs="Arial"/>
          <w:lang w:eastAsia="en-US"/>
        </w:rPr>
        <w:t>,</w:t>
      </w:r>
      <w:r w:rsidRPr="009D6D31">
        <w:rPr>
          <w:rFonts w:eastAsia="Calibri" w:cs="Arial"/>
          <w:lang w:eastAsia="en-US"/>
        </w:rPr>
        <w:t xml:space="preserve"> które zobowiązują beneficjenta do opisu </w:t>
      </w:r>
      <w:r>
        <w:rPr>
          <w:rFonts w:eastAsia="Calibri" w:cs="Arial"/>
          <w:lang w:eastAsia="en-US"/>
        </w:rPr>
        <w:t>przedmiotu zamówienia</w:t>
      </w:r>
      <w:r w:rsidRPr="009D6D31">
        <w:rPr>
          <w:rFonts w:eastAsia="Calibri" w:cs="Arial"/>
          <w:lang w:eastAsia="en-US"/>
        </w:rPr>
        <w:t xml:space="preserve"> w sposób dostępny</w:t>
      </w:r>
      <w:r>
        <w:rPr>
          <w:rFonts w:eastAsia="Calibri" w:cs="Arial"/>
          <w:lang w:eastAsia="en-US"/>
        </w:rPr>
        <w:t xml:space="preserve">. </w:t>
      </w:r>
      <w:r w:rsidR="00377B64">
        <w:rPr>
          <w:rFonts w:eastAsia="Calibri" w:cs="Arial"/>
          <w:lang w:eastAsia="en-US"/>
        </w:rPr>
        <w:t>Odpowiednie zapisy są w tym celu umieszczane w</w:t>
      </w:r>
      <w:r w:rsidRPr="009D6D31">
        <w:rPr>
          <w:rFonts w:eastAsia="Calibri" w:cs="Arial"/>
          <w:lang w:eastAsia="en-US"/>
        </w:rPr>
        <w:t xml:space="preserve"> umowie z beneficjentem lub w </w:t>
      </w:r>
      <w:r w:rsidR="009D0F1C">
        <w:rPr>
          <w:rFonts w:eastAsia="Calibri" w:cs="Arial"/>
          <w:lang w:eastAsia="en-US"/>
        </w:rPr>
        <w:t>regulaminie wyboru projektów</w:t>
      </w:r>
      <w:r w:rsidRPr="009D6D31">
        <w:rPr>
          <w:rFonts w:eastAsia="Calibri" w:cs="Arial"/>
          <w:lang w:eastAsia="en-US"/>
        </w:rPr>
        <w:t>.</w:t>
      </w:r>
    </w:p>
    <w:p w14:paraId="068D3589" w14:textId="30DE5DAD" w:rsidR="001D2311" w:rsidRPr="009D6D31" w:rsidRDefault="001D2311" w:rsidP="00DA067E">
      <w:pPr>
        <w:pStyle w:val="Akapitzlist"/>
        <w:spacing w:before="120" w:after="120" w:line="360" w:lineRule="auto"/>
        <w:rPr>
          <w:rFonts w:eastAsia="Calibri" w:cs="Arial"/>
          <w:lang w:eastAsia="en-US"/>
        </w:rPr>
      </w:pPr>
    </w:p>
    <w:p w14:paraId="31C8A9A2" w14:textId="5D29DC8C" w:rsidR="001D2311" w:rsidRPr="0057187F" w:rsidRDefault="001D2311" w:rsidP="0057187F">
      <w:pPr>
        <w:pStyle w:val="Nagwek2"/>
        <w:rPr>
          <w:rFonts w:cs="Arial"/>
        </w:rPr>
      </w:pPr>
      <w:bookmarkStart w:id="48" w:name="_Toc108787453"/>
      <w:r w:rsidRPr="0057187F">
        <w:rPr>
          <w:rFonts w:cs="Arial"/>
        </w:rPr>
        <w:t xml:space="preserve">Podrozdział 4.2. Zasada równości </w:t>
      </w:r>
      <w:bookmarkEnd w:id="48"/>
      <w:r w:rsidR="00EF0C1D">
        <w:rPr>
          <w:rFonts w:cs="Arial"/>
        </w:rPr>
        <w:t>kobiet i mężczyzn</w:t>
      </w:r>
    </w:p>
    <w:p w14:paraId="4937B131" w14:textId="458F0FB4" w:rsidR="001D2311" w:rsidRPr="0057187F" w:rsidRDefault="001D2311" w:rsidP="0057187F">
      <w:pPr>
        <w:pStyle w:val="Nagwek3"/>
        <w:rPr>
          <w:rFonts w:cs="Arial"/>
        </w:rPr>
      </w:pPr>
      <w:bookmarkStart w:id="49" w:name="_Toc108787454"/>
      <w:r w:rsidRPr="0057187F">
        <w:rPr>
          <w:rFonts w:cs="Arial"/>
        </w:rPr>
        <w:t>Sekcja 4.2.1. Wymagania ogólne</w:t>
      </w:r>
      <w:bookmarkEnd w:id="49"/>
    </w:p>
    <w:p w14:paraId="73046ED9" w14:textId="68E126E5" w:rsidR="00143731" w:rsidRDefault="001D2311" w:rsidP="0057187F">
      <w:pPr>
        <w:numPr>
          <w:ilvl w:val="0"/>
          <w:numId w:val="13"/>
        </w:numPr>
        <w:spacing w:before="120" w:after="120" w:line="360" w:lineRule="auto"/>
        <w:rPr>
          <w:rFonts w:eastAsia="Calibri" w:cs="Arial"/>
          <w:lang w:eastAsia="en-US"/>
        </w:rPr>
      </w:pPr>
      <w:r w:rsidRPr="0057187F">
        <w:rPr>
          <w:rFonts w:eastAsia="Calibri" w:cs="Arial"/>
          <w:lang w:eastAsia="en-US"/>
        </w:rPr>
        <w:t>W przypadku</w:t>
      </w:r>
      <w:r w:rsidRPr="0057187F">
        <w:rPr>
          <w:rFonts w:cs="Arial"/>
        </w:rPr>
        <w:t xml:space="preserve"> </w:t>
      </w:r>
      <w:r w:rsidRPr="0057187F">
        <w:rPr>
          <w:rFonts w:eastAsia="Calibri" w:cs="Arial"/>
          <w:lang w:eastAsia="en-US"/>
        </w:rPr>
        <w:t xml:space="preserve">wszystkich programów niezbędne jest uwzględnianie perspektywy równości kobiet i mężczyzn na wszystkich etapach wdrażania programów </w:t>
      </w:r>
      <w:r w:rsidR="0013078B" w:rsidRPr="0013078B">
        <w:rPr>
          <w:rFonts w:eastAsia="Calibri" w:cs="Arial"/>
          <w:lang w:eastAsia="en-US"/>
        </w:rPr>
        <w:t>tj. podczas przygotowywania, wdrażania, monitorowania, sprawozdawczości, ewaluacji, promocji i kontroli programów.</w:t>
      </w:r>
      <w:r w:rsidR="00143731">
        <w:rPr>
          <w:rStyle w:val="Odwoanieprzypisudolnego"/>
          <w:rFonts w:eastAsia="Calibri"/>
          <w:lang w:eastAsia="en-US"/>
        </w:rPr>
        <w:footnoteReference w:id="35"/>
      </w:r>
      <w:r w:rsidR="0013078B">
        <w:rPr>
          <w:rFonts w:eastAsia="Calibri" w:cs="Arial"/>
          <w:lang w:eastAsia="en-US"/>
        </w:rPr>
        <w:t>.</w:t>
      </w:r>
      <w:r w:rsidR="008660B9">
        <w:rPr>
          <w:rFonts w:eastAsia="Calibri" w:cs="Arial"/>
          <w:lang w:eastAsia="en-US"/>
        </w:rPr>
        <w:t xml:space="preserve"> </w:t>
      </w:r>
      <w:r w:rsidRPr="0057187F">
        <w:rPr>
          <w:rFonts w:eastAsia="Calibri" w:cs="Arial"/>
          <w:lang w:eastAsia="en-US"/>
        </w:rPr>
        <w:t>Oznacza to, że na każdym poziomie działań zostaną zaplanowane mechanizmy pozwalające na realizację zasady równości kobiet i mężczyzn</w:t>
      </w:r>
      <w:r w:rsidR="00AB3D6B">
        <w:rPr>
          <w:rFonts w:eastAsia="Calibri" w:cs="Arial"/>
          <w:lang w:eastAsia="en-US"/>
        </w:rPr>
        <w:t>.</w:t>
      </w:r>
    </w:p>
    <w:p w14:paraId="71A506E8" w14:textId="1A3539D0" w:rsidR="001D2311" w:rsidRPr="0057187F" w:rsidRDefault="00143731" w:rsidP="0057187F">
      <w:pPr>
        <w:numPr>
          <w:ilvl w:val="0"/>
          <w:numId w:val="13"/>
        </w:numPr>
        <w:spacing w:before="120" w:after="120" w:line="360" w:lineRule="auto"/>
        <w:rPr>
          <w:rFonts w:eastAsia="Calibri" w:cs="Arial"/>
          <w:lang w:eastAsia="en-US"/>
        </w:rPr>
      </w:pPr>
      <w:r>
        <w:rPr>
          <w:rFonts w:eastAsia="Calibri" w:cs="Arial"/>
          <w:lang w:eastAsia="en-US"/>
        </w:rPr>
        <w:t xml:space="preserve">Zgodnie z artykułem 6 rozporządzenia EFS+ w przypadku </w:t>
      </w:r>
      <w:r w:rsidR="001708D8">
        <w:rPr>
          <w:rFonts w:eastAsia="Calibri" w:cs="Arial"/>
          <w:lang w:eastAsia="en-US"/>
        </w:rPr>
        <w:t>zasady</w:t>
      </w:r>
      <w:r>
        <w:rPr>
          <w:rFonts w:eastAsia="Calibri" w:cs="Arial"/>
          <w:lang w:eastAsia="en-US"/>
        </w:rPr>
        <w:t xml:space="preserve"> równości kobiet i mężczyzn ważne jest przede wszystkim odejmowanie działań w zakresie:</w:t>
      </w:r>
      <w:r w:rsidRPr="00143731">
        <w:rPr>
          <w:rFonts w:eastAsia="Calibri" w:cs="Arial"/>
          <w:lang w:eastAsia="en-US"/>
        </w:rPr>
        <w:t xml:space="preserve"> zwiększenia uczestnictwa kobiet w zatrudnieniu, a także lepszego godzenia życia zawodowego i prywatnego, zwalczania feminizacji ubóstwa oraz dyskryminacji ze względu na płeć na rynku pracy oraz w kształceniu </w:t>
      </w:r>
      <w:r w:rsidR="00590863">
        <w:rPr>
          <w:rFonts w:eastAsia="Calibri" w:cs="Arial"/>
          <w:lang w:eastAsia="en-US"/>
        </w:rPr>
        <w:br/>
      </w:r>
      <w:r w:rsidRPr="00143731">
        <w:rPr>
          <w:rFonts w:eastAsia="Calibri" w:cs="Arial"/>
          <w:lang w:eastAsia="en-US"/>
        </w:rPr>
        <w:t>i szkoleniu.</w:t>
      </w:r>
      <w:r>
        <w:rPr>
          <w:rFonts w:eastAsia="Calibri" w:cs="Arial"/>
          <w:lang w:eastAsia="en-US"/>
        </w:rPr>
        <w:t xml:space="preserve"> </w:t>
      </w:r>
    </w:p>
    <w:p w14:paraId="5F8A46D8" w14:textId="3239EA79" w:rsidR="001D2311" w:rsidRPr="00DA067E" w:rsidRDefault="001D2311" w:rsidP="00AB3D6B">
      <w:pPr>
        <w:numPr>
          <w:ilvl w:val="0"/>
          <w:numId w:val="13"/>
        </w:numPr>
        <w:spacing w:before="120" w:after="120" w:line="360" w:lineRule="auto"/>
        <w:rPr>
          <w:rFonts w:eastAsia="Calibri" w:cs="Arial"/>
          <w:lang w:eastAsia="ar-SA"/>
        </w:rPr>
      </w:pPr>
      <w:r w:rsidRPr="0057187F">
        <w:rPr>
          <w:rFonts w:eastAsia="Calibri" w:cs="Arial"/>
          <w:lang w:eastAsia="ar-SA"/>
        </w:rPr>
        <w:lastRenderedPageBreak/>
        <w:t>W ramach programów współfinansowanych z EFS+ stosowan</w:t>
      </w:r>
      <w:r w:rsidR="008660B9">
        <w:rPr>
          <w:rFonts w:eastAsia="Calibri" w:cs="Arial"/>
          <w:lang w:eastAsia="ar-SA"/>
        </w:rPr>
        <w:t>e</w:t>
      </w:r>
      <w:r w:rsidRPr="0057187F">
        <w:rPr>
          <w:rFonts w:eastAsia="Calibri" w:cs="Arial"/>
          <w:lang w:eastAsia="ar-SA"/>
        </w:rPr>
        <w:t xml:space="preserve"> będzie podwójne podejści</w:t>
      </w:r>
      <w:r w:rsidR="008660B9">
        <w:rPr>
          <w:rFonts w:eastAsia="Calibri" w:cs="Arial"/>
          <w:lang w:eastAsia="ar-SA"/>
        </w:rPr>
        <w:t>e</w:t>
      </w:r>
      <w:r w:rsidRPr="0057187F">
        <w:rPr>
          <w:rFonts w:eastAsia="Calibri" w:cs="Arial"/>
          <w:vertAlign w:val="superscript"/>
          <w:lang w:eastAsia="ar-SA"/>
        </w:rPr>
        <w:footnoteReference w:id="36"/>
      </w:r>
      <w:r w:rsidR="008660B9">
        <w:rPr>
          <w:rFonts w:eastAsia="Calibri" w:cs="Arial"/>
          <w:lang w:eastAsia="ar-SA"/>
        </w:rPr>
        <w:t xml:space="preserve"> o którym mowa w wykazie pojęć. </w:t>
      </w:r>
    </w:p>
    <w:p w14:paraId="7D5DB784" w14:textId="532BEC56" w:rsidR="001D2311" w:rsidRPr="0057187F" w:rsidRDefault="001D2311" w:rsidP="0057187F">
      <w:pPr>
        <w:numPr>
          <w:ilvl w:val="0"/>
          <w:numId w:val="13"/>
        </w:numPr>
        <w:spacing w:before="120" w:after="120" w:line="360" w:lineRule="auto"/>
        <w:rPr>
          <w:rFonts w:eastAsia="Calibri" w:cs="Arial"/>
          <w:lang w:eastAsia="en-US"/>
        </w:rPr>
      </w:pPr>
      <w:r w:rsidRPr="0057187F">
        <w:rPr>
          <w:rFonts w:eastAsia="Calibri" w:cs="Arial"/>
          <w:lang w:eastAsia="ar-SA"/>
        </w:rPr>
        <w:t xml:space="preserve">W przypadku programów współfinansowanych z EFRR, FS i FST, na etapie ich przygotowywania, IZ </w:t>
      </w:r>
      <w:r w:rsidR="00A00C8D">
        <w:rPr>
          <w:rFonts w:eastAsia="Calibri" w:cs="Arial"/>
          <w:lang w:eastAsia="ar-SA"/>
        </w:rPr>
        <w:t>podejmuje decyzję co do</w:t>
      </w:r>
      <w:r w:rsidRPr="0057187F">
        <w:rPr>
          <w:rFonts w:eastAsia="Calibri" w:cs="Arial"/>
          <w:lang w:eastAsia="ar-SA"/>
        </w:rPr>
        <w:t xml:space="preserve"> zasadności zastosowania podwójnego podejścia</w:t>
      </w:r>
      <w:r w:rsidRPr="0057187F">
        <w:rPr>
          <w:rFonts w:eastAsia="Calibri" w:cs="Arial"/>
          <w:i/>
          <w:lang w:eastAsia="ar-SA"/>
        </w:rPr>
        <w:t xml:space="preserve">. </w:t>
      </w:r>
      <w:r w:rsidRPr="0057187F">
        <w:rPr>
          <w:rFonts w:eastAsia="Calibri" w:cs="Arial"/>
          <w:lang w:eastAsia="ar-SA"/>
        </w:rPr>
        <w:t xml:space="preserve">Tam, gdzie zostały zdiagnozowane nierówności kobiet i mężczyzn w określonych obszarach </w:t>
      </w:r>
      <w:r w:rsidRPr="0034588C">
        <w:rPr>
          <w:rFonts w:eastAsia="Calibri" w:cs="Arial"/>
          <w:lang w:eastAsia="ar-SA"/>
        </w:rPr>
        <w:t>wsparcia</w:t>
      </w:r>
      <w:r w:rsidR="00E4310D" w:rsidRPr="0034588C">
        <w:rPr>
          <w:rFonts w:eastAsia="Calibri" w:cs="Arial"/>
          <w:lang w:eastAsia="ar-SA"/>
        </w:rPr>
        <w:t xml:space="preserve"> IZ planuje działania dedykowane wspieraniu równości płci.</w:t>
      </w:r>
      <w:r w:rsidRPr="0034588C">
        <w:rPr>
          <w:rFonts w:eastAsia="Calibri" w:cs="Arial"/>
          <w:lang w:eastAsia="ar-SA"/>
        </w:rPr>
        <w:t xml:space="preserve"> </w:t>
      </w:r>
      <w:r w:rsidRPr="0034588C">
        <w:rPr>
          <w:rFonts w:eastAsia="Calibri" w:cs="Arial"/>
          <w:lang w:eastAsia="en-US"/>
        </w:rPr>
        <w:t>W wypadku braku zdiagnozowania nierówności</w:t>
      </w:r>
      <w:r w:rsidR="00E4310D" w:rsidRPr="0034588C">
        <w:rPr>
          <w:rFonts w:eastAsia="Calibri" w:cs="Arial"/>
          <w:lang w:eastAsia="en-US"/>
        </w:rPr>
        <w:t xml:space="preserve"> ze względu na płeć w danym obszarze</w:t>
      </w:r>
      <w:r w:rsidRPr="0034588C">
        <w:rPr>
          <w:rFonts w:eastAsia="Calibri" w:cs="Arial"/>
          <w:lang w:eastAsia="en-US"/>
        </w:rPr>
        <w:t>, wystarczające jest zastosowanie wyłącznie podejścia horyzontalnego</w:t>
      </w:r>
      <w:r w:rsidRPr="0034588C">
        <w:rPr>
          <w:rFonts w:eastAsia="Calibri" w:cs="Arial"/>
          <w:lang w:eastAsia="ar-SA"/>
        </w:rPr>
        <w:t>.</w:t>
      </w:r>
    </w:p>
    <w:p w14:paraId="35AF8AA4" w14:textId="6867E728" w:rsidR="001D2311" w:rsidRPr="0057187F" w:rsidRDefault="001D2311" w:rsidP="0057187F">
      <w:pPr>
        <w:pStyle w:val="Nagwek3"/>
        <w:rPr>
          <w:rFonts w:cs="Arial"/>
        </w:rPr>
      </w:pPr>
      <w:bookmarkStart w:id="50" w:name="_Toc108787455"/>
      <w:r w:rsidRPr="0057187F">
        <w:rPr>
          <w:rFonts w:cs="Arial"/>
        </w:rPr>
        <w:t>Sekcja 4.2.2. Wybór projektów</w:t>
      </w:r>
      <w:bookmarkEnd w:id="50"/>
    </w:p>
    <w:p w14:paraId="1CCE88A2" w14:textId="678340ED" w:rsidR="001D2311" w:rsidRPr="0057187F" w:rsidRDefault="001D2311" w:rsidP="0057187F">
      <w:pPr>
        <w:numPr>
          <w:ilvl w:val="0"/>
          <w:numId w:val="14"/>
        </w:numPr>
        <w:tabs>
          <w:tab w:val="left" w:pos="426"/>
        </w:tabs>
        <w:suppressAutoHyphens/>
        <w:spacing w:before="120" w:after="120" w:line="360" w:lineRule="auto"/>
        <w:rPr>
          <w:rFonts w:cs="Arial"/>
          <w:lang w:eastAsia="ar-SA"/>
        </w:rPr>
      </w:pPr>
      <w:r w:rsidRPr="0057187F">
        <w:rPr>
          <w:rFonts w:cs="Arial"/>
          <w:lang w:eastAsia="ar-SA"/>
        </w:rPr>
        <w:t xml:space="preserve">IZ zapewnia, że wszystkie projekty przyjęte do dofinansowania są zgodne </w:t>
      </w:r>
      <w:r w:rsidR="00590863">
        <w:rPr>
          <w:rFonts w:cs="Arial"/>
          <w:lang w:eastAsia="ar-SA"/>
        </w:rPr>
        <w:br/>
      </w:r>
      <w:r w:rsidRPr="0057187F">
        <w:rPr>
          <w:rFonts w:cs="Arial"/>
          <w:lang w:eastAsia="ar-SA"/>
        </w:rPr>
        <w:t>z zasadą równości kobiet i mężczyzn. W tym celu IZ lub inna, właściwa instytucja pr</w:t>
      </w:r>
      <w:r w:rsidR="008660B9">
        <w:rPr>
          <w:rFonts w:cs="Arial"/>
          <w:lang w:eastAsia="ar-SA"/>
        </w:rPr>
        <w:t>zedkłada</w:t>
      </w:r>
      <w:r w:rsidRPr="0057187F">
        <w:rPr>
          <w:rFonts w:cs="Arial"/>
          <w:lang w:eastAsia="ar-SA"/>
        </w:rPr>
        <w:t xml:space="preserve"> komitetowi monitorującemu </w:t>
      </w:r>
      <w:r w:rsidR="008660B9">
        <w:rPr>
          <w:rFonts w:cs="Arial"/>
          <w:lang w:eastAsia="ar-SA"/>
        </w:rPr>
        <w:t xml:space="preserve">do </w:t>
      </w:r>
      <w:r w:rsidRPr="0057187F">
        <w:rPr>
          <w:rFonts w:cs="Arial"/>
          <w:lang w:eastAsia="ar-SA"/>
        </w:rPr>
        <w:t>przyjęci</w:t>
      </w:r>
      <w:r w:rsidR="008660B9">
        <w:rPr>
          <w:rFonts w:cs="Arial"/>
          <w:lang w:eastAsia="ar-SA"/>
        </w:rPr>
        <w:t>a</w:t>
      </w:r>
      <w:r w:rsidRPr="0057187F">
        <w:rPr>
          <w:rFonts w:cs="Arial"/>
          <w:lang w:eastAsia="ar-SA"/>
        </w:rPr>
        <w:t xml:space="preserve"> kryterium wyboru projektu zobowiązującego beneficjenta do wskazania we wniosku </w:t>
      </w:r>
      <w:r w:rsidR="00590863">
        <w:rPr>
          <w:rFonts w:cs="Arial"/>
          <w:lang w:eastAsia="ar-SA"/>
        </w:rPr>
        <w:br/>
      </w:r>
      <w:r w:rsidRPr="0057187F">
        <w:rPr>
          <w:rFonts w:cs="Arial"/>
          <w:lang w:eastAsia="ar-SA"/>
        </w:rPr>
        <w:t>o dofinansowanie projektu informacji potwierdzających zgodność planowanego projektu z zasadą równości kobiet i mężczyzn.</w:t>
      </w:r>
    </w:p>
    <w:p w14:paraId="3A5C64F3" w14:textId="5FB8E94E" w:rsidR="001D2311" w:rsidRPr="007E28F7" w:rsidRDefault="001D2311" w:rsidP="007E28F7">
      <w:pPr>
        <w:numPr>
          <w:ilvl w:val="0"/>
          <w:numId w:val="14"/>
        </w:numPr>
        <w:suppressAutoHyphens/>
        <w:spacing w:before="120" w:after="120" w:line="360" w:lineRule="auto"/>
        <w:rPr>
          <w:rFonts w:cs="Arial"/>
          <w:lang w:eastAsia="ar-SA"/>
        </w:rPr>
      </w:pPr>
      <w:r w:rsidRPr="0057187F">
        <w:rPr>
          <w:rFonts w:cs="Arial"/>
          <w:lang w:eastAsia="ar-SA"/>
        </w:rPr>
        <w:t xml:space="preserve">W przypadku programów współfinansowanych z EFS+ (oprócz </w:t>
      </w:r>
      <w:r w:rsidR="00AB3D6B">
        <w:rPr>
          <w:rFonts w:cs="Arial"/>
          <w:lang w:eastAsia="ar-SA"/>
        </w:rPr>
        <w:t>priorytetu</w:t>
      </w:r>
      <w:r w:rsidR="00AB3D6B" w:rsidRPr="0057187F">
        <w:rPr>
          <w:rFonts w:cs="Arial"/>
          <w:lang w:eastAsia="ar-SA"/>
        </w:rPr>
        <w:t xml:space="preserve"> </w:t>
      </w:r>
      <w:r w:rsidRPr="0057187F">
        <w:rPr>
          <w:rFonts w:cs="Arial"/>
          <w:lang w:eastAsia="ar-SA"/>
        </w:rPr>
        <w:t xml:space="preserve">pomocy technicznej) przy ocenie projektów obowiązkowe jest zastosowanie </w:t>
      </w:r>
      <w:r w:rsidR="00590863">
        <w:rPr>
          <w:rFonts w:cs="Arial"/>
          <w:lang w:eastAsia="ar-SA"/>
        </w:rPr>
        <w:br/>
      </w:r>
      <w:r w:rsidRPr="0057187F">
        <w:rPr>
          <w:rFonts w:cs="Arial"/>
          <w:lang w:eastAsia="ar-SA"/>
        </w:rPr>
        <w:t xml:space="preserve">w stosownym formularzu oceny (np. karcie oceny projektu lub w systemie </w:t>
      </w:r>
      <w:r w:rsidR="00F62766">
        <w:rPr>
          <w:rFonts w:cs="Arial"/>
          <w:lang w:eastAsia="ar-SA"/>
        </w:rPr>
        <w:t>tele</w:t>
      </w:r>
      <w:r w:rsidRPr="0057187F">
        <w:rPr>
          <w:rFonts w:cs="Arial"/>
          <w:lang w:eastAsia="ar-SA"/>
        </w:rPr>
        <w:t xml:space="preserve">informatycznym) standardu minimum. </w:t>
      </w:r>
      <w:r w:rsidR="007E28F7">
        <w:rPr>
          <w:rFonts w:cs="Arial"/>
          <w:lang w:eastAsia="ar-SA"/>
        </w:rPr>
        <w:t xml:space="preserve">Narzędzie to może być również stosowane w odniesieniu do projektów współfinansowanych z FST. Decyzja </w:t>
      </w:r>
      <w:r w:rsidR="00590863">
        <w:rPr>
          <w:rFonts w:cs="Arial"/>
          <w:lang w:eastAsia="ar-SA"/>
        </w:rPr>
        <w:br/>
      </w:r>
      <w:r w:rsidR="007E28F7">
        <w:rPr>
          <w:rFonts w:cs="Arial"/>
          <w:lang w:eastAsia="ar-SA"/>
        </w:rPr>
        <w:t xml:space="preserve">o jego użyciu w odniesieniu do FST należy do poszczególnych programów. </w:t>
      </w:r>
      <w:r w:rsidR="00590863">
        <w:rPr>
          <w:rFonts w:cs="Arial"/>
          <w:lang w:eastAsia="ar-SA"/>
        </w:rPr>
        <w:br/>
      </w:r>
      <w:r w:rsidRPr="007E28F7">
        <w:rPr>
          <w:rFonts w:cs="Arial"/>
          <w:lang w:eastAsia="ar-SA"/>
        </w:rPr>
        <w:t xml:space="preserve">W określonych typach projektów lub w wybranych naborach, IZ lub inna, właściwa instytucja może zaproponować komitetowi monitorującemu przyjęcie kryterium określającego inną (wyższą lub niższą) niż wskazana w standardzie minimum liczbę punktów (nie mniej niż 1 punkt), niezbędnych do jego spełnienia. Istnieje również możliwość wskazania przez IZ lub inną, właściwą </w:t>
      </w:r>
      <w:r w:rsidRPr="007E28F7">
        <w:rPr>
          <w:rFonts w:cs="Arial"/>
          <w:lang w:eastAsia="ar-SA"/>
        </w:rPr>
        <w:lastRenderedPageBreak/>
        <w:t>instytucję, które kryteria oceny w standardzie minimum muszą zostać obligatoryjnie spełnione.</w:t>
      </w:r>
    </w:p>
    <w:p w14:paraId="05999DAA" w14:textId="77777777" w:rsidR="001D2311" w:rsidRPr="0057187F" w:rsidRDefault="001D2311" w:rsidP="0057187F">
      <w:pPr>
        <w:suppressAutoHyphens/>
        <w:spacing w:before="120" w:after="120" w:line="360" w:lineRule="auto"/>
        <w:ind w:left="720"/>
        <w:rPr>
          <w:rFonts w:cs="Arial"/>
          <w:lang w:eastAsia="ar-SA"/>
        </w:rPr>
      </w:pPr>
      <w:r w:rsidRPr="0057187F">
        <w:rPr>
          <w:rFonts w:cs="Arial"/>
          <w:lang w:eastAsia="ar-SA"/>
        </w:rPr>
        <w:t>Rekomendowane brzmienie kryterium to:</w:t>
      </w:r>
    </w:p>
    <w:p w14:paraId="71423EFF" w14:textId="77777777" w:rsidR="001D2311" w:rsidRPr="0057187F" w:rsidRDefault="001D2311" w:rsidP="0057187F">
      <w:pPr>
        <w:suppressAutoHyphens/>
        <w:spacing w:before="120" w:after="120" w:line="360" w:lineRule="auto"/>
        <w:ind w:left="720"/>
        <w:rPr>
          <w:rFonts w:cs="Arial"/>
          <w:lang w:eastAsia="ar-SA"/>
        </w:rPr>
      </w:pPr>
      <w:r w:rsidRPr="0057187F">
        <w:rPr>
          <w:rFonts w:cs="Arial"/>
          <w:iCs/>
          <w:lang w:eastAsia="ar-SA"/>
        </w:rPr>
        <w:t>„Projekt jest zgodny ze standardem minimum realizacji zasady równości kobiet i mężczyzn”.</w:t>
      </w:r>
    </w:p>
    <w:p w14:paraId="1577BE57" w14:textId="4053D97B" w:rsidR="001D2311" w:rsidRPr="0057187F" w:rsidRDefault="001D2311" w:rsidP="0057187F">
      <w:pPr>
        <w:numPr>
          <w:ilvl w:val="0"/>
          <w:numId w:val="14"/>
        </w:numPr>
        <w:suppressAutoHyphens/>
        <w:spacing w:before="120" w:after="120" w:line="360" w:lineRule="auto"/>
        <w:rPr>
          <w:rFonts w:cs="Arial"/>
          <w:lang w:eastAsia="ar-SA"/>
        </w:rPr>
      </w:pPr>
      <w:r w:rsidRPr="0057187F">
        <w:rPr>
          <w:rFonts w:cs="Arial"/>
          <w:lang w:eastAsia="ar-SA"/>
        </w:rPr>
        <w:t xml:space="preserve">W programach współfinansowanych z EFRR, FS lub FST lub </w:t>
      </w:r>
      <w:r w:rsidR="00AB3D6B">
        <w:rPr>
          <w:rFonts w:cs="Arial"/>
          <w:lang w:eastAsia="ar-SA"/>
        </w:rPr>
        <w:t>priorytetu</w:t>
      </w:r>
      <w:r w:rsidR="00AB3D6B" w:rsidRPr="0057187F">
        <w:rPr>
          <w:rFonts w:cs="Arial"/>
          <w:lang w:eastAsia="ar-SA"/>
        </w:rPr>
        <w:t xml:space="preserve"> </w:t>
      </w:r>
      <w:r w:rsidRPr="0057187F">
        <w:rPr>
          <w:rFonts w:cs="Arial"/>
          <w:lang w:eastAsia="ar-SA"/>
        </w:rPr>
        <w:t>pomocy technicznej wspófinansowanej z EFS+ nie ma obowiązku stosowania standardu minimum. Rekomendowane brzmienie kryterium to:</w:t>
      </w:r>
    </w:p>
    <w:p w14:paraId="2DCDD344" w14:textId="77777777" w:rsidR="001D2311" w:rsidRPr="0057187F" w:rsidRDefault="001D2311" w:rsidP="0057187F">
      <w:pPr>
        <w:suppressAutoHyphens/>
        <w:spacing w:before="120" w:after="120" w:line="360" w:lineRule="auto"/>
        <w:ind w:left="720"/>
        <w:rPr>
          <w:rFonts w:cs="Arial"/>
          <w:lang w:eastAsia="ar-SA"/>
        </w:rPr>
      </w:pPr>
      <w:r w:rsidRPr="0057187F">
        <w:rPr>
          <w:rFonts w:cs="Arial"/>
          <w:iCs/>
          <w:lang w:eastAsia="ar-SA"/>
        </w:rPr>
        <w:t>„Projekt jest zgodny z zasadą równości kobiet i mężczyzn</w:t>
      </w:r>
      <w:r w:rsidRPr="0057187F">
        <w:rPr>
          <w:rFonts w:cs="Arial"/>
          <w:iCs/>
          <w:vertAlign w:val="superscript"/>
          <w:lang w:eastAsia="ar-SA"/>
        </w:rPr>
        <w:footnoteReference w:id="37"/>
      </w:r>
      <w:r w:rsidRPr="0057187F">
        <w:rPr>
          <w:rFonts w:cs="Arial"/>
          <w:iCs/>
          <w:lang w:eastAsia="ar-SA"/>
        </w:rPr>
        <w:t>.”</w:t>
      </w:r>
    </w:p>
    <w:p w14:paraId="4C2EB25E" w14:textId="77777777" w:rsidR="001D2311" w:rsidRPr="0057187F" w:rsidRDefault="001D2311" w:rsidP="0057187F">
      <w:pPr>
        <w:suppressAutoHyphens/>
        <w:spacing w:before="120" w:after="120" w:line="360" w:lineRule="auto"/>
        <w:ind w:left="720"/>
        <w:rPr>
          <w:rFonts w:cs="Arial"/>
          <w:lang w:eastAsia="ar-SA"/>
        </w:rPr>
      </w:pPr>
      <w:r w:rsidRPr="0057187F">
        <w:rPr>
          <w:rFonts w:cs="Arial"/>
          <w:lang w:eastAsia="ar-SA"/>
        </w:rPr>
        <w:t>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w:t>
      </w:r>
    </w:p>
    <w:p w14:paraId="367D91BF" w14:textId="53DB335F" w:rsidR="001D2311" w:rsidRPr="0057187F" w:rsidRDefault="001D2311" w:rsidP="0057187F">
      <w:pPr>
        <w:numPr>
          <w:ilvl w:val="0"/>
          <w:numId w:val="14"/>
        </w:numPr>
        <w:suppressAutoHyphens/>
        <w:spacing w:before="120" w:after="120" w:line="360" w:lineRule="auto"/>
        <w:rPr>
          <w:rFonts w:cs="Arial"/>
          <w:lang w:eastAsia="ar-SA"/>
        </w:rPr>
      </w:pPr>
      <w:r w:rsidRPr="0057187F">
        <w:rPr>
          <w:rFonts w:cs="Arial"/>
          <w:lang w:eastAsia="ar-SA"/>
        </w:rPr>
        <w:t xml:space="preserve">W programach współfinansowanych z EFRR, FS lub FST oraz w </w:t>
      </w:r>
      <w:r w:rsidR="00AB3D6B">
        <w:rPr>
          <w:rFonts w:cs="Arial"/>
          <w:lang w:eastAsia="ar-SA"/>
        </w:rPr>
        <w:t>priorytetach</w:t>
      </w:r>
      <w:r w:rsidR="00AB3D6B" w:rsidRPr="0057187F">
        <w:rPr>
          <w:rFonts w:cs="Arial"/>
          <w:lang w:eastAsia="ar-SA"/>
        </w:rPr>
        <w:t xml:space="preserve"> </w:t>
      </w:r>
      <w:r w:rsidRPr="0057187F">
        <w:rPr>
          <w:rFonts w:cs="Arial"/>
          <w:lang w:eastAsia="ar-SA"/>
        </w:rPr>
        <w:t>pomocy technicznej współfinansowanej z EFS+, minimalnym wymogiem oceny projektów pod kątem zasady równości kobiet i mężczyzn jest umieszczenie w</w:t>
      </w:r>
      <w:r w:rsidRPr="0057187F">
        <w:rPr>
          <w:rFonts w:eastAsia="Calibri" w:cs="Arial"/>
          <w:lang w:eastAsia="en-US"/>
        </w:rPr>
        <w:t xml:space="preserve"> </w:t>
      </w:r>
      <w:r w:rsidRPr="0057187F">
        <w:rPr>
          <w:rFonts w:cs="Arial"/>
          <w:lang w:eastAsia="ar-SA"/>
        </w:rPr>
        <w:t xml:space="preserve">formularzu oceny (np. karcie oceny projektu lub w systemie </w:t>
      </w:r>
      <w:r w:rsidR="00F62766">
        <w:rPr>
          <w:rFonts w:cs="Arial"/>
          <w:lang w:eastAsia="ar-SA"/>
        </w:rPr>
        <w:t>tele</w:t>
      </w:r>
      <w:r w:rsidRPr="0057187F">
        <w:rPr>
          <w:rFonts w:cs="Arial"/>
          <w:lang w:eastAsia="ar-SA"/>
        </w:rPr>
        <w:t xml:space="preserve">informatycznym) minimum jednego pytania oceniającego </w:t>
      </w:r>
      <w:r w:rsidR="003D0637">
        <w:rPr>
          <w:rFonts w:cs="Arial"/>
          <w:lang w:eastAsia="ar-SA"/>
        </w:rPr>
        <w:t xml:space="preserve">zgodność </w:t>
      </w:r>
      <w:r w:rsidRPr="0057187F">
        <w:rPr>
          <w:rFonts w:cs="Arial"/>
          <w:lang w:eastAsia="ar-SA"/>
        </w:rPr>
        <w:t>dan</w:t>
      </w:r>
      <w:r w:rsidR="003D0637">
        <w:rPr>
          <w:rFonts w:cs="Arial"/>
          <w:lang w:eastAsia="ar-SA"/>
        </w:rPr>
        <w:t>ego</w:t>
      </w:r>
      <w:r w:rsidRPr="0057187F">
        <w:rPr>
          <w:rFonts w:cs="Arial"/>
          <w:lang w:eastAsia="ar-SA"/>
        </w:rPr>
        <w:t xml:space="preserve"> projekt</w:t>
      </w:r>
      <w:r w:rsidR="003D0637">
        <w:rPr>
          <w:rFonts w:cs="Arial"/>
          <w:lang w:eastAsia="ar-SA"/>
        </w:rPr>
        <w:t>u</w:t>
      </w:r>
      <w:r w:rsidRPr="0057187F">
        <w:rPr>
          <w:rFonts w:cs="Arial"/>
          <w:lang w:eastAsia="ar-SA"/>
        </w:rPr>
        <w:t xml:space="preserve"> </w:t>
      </w:r>
      <w:r w:rsidR="003D0637">
        <w:rPr>
          <w:rFonts w:cs="Arial"/>
          <w:lang w:eastAsia="ar-SA"/>
        </w:rPr>
        <w:t>z tą</w:t>
      </w:r>
      <w:r w:rsidR="003D0637" w:rsidRPr="0057187F">
        <w:rPr>
          <w:rFonts w:cs="Arial"/>
          <w:lang w:eastAsia="ar-SA"/>
        </w:rPr>
        <w:t xml:space="preserve"> </w:t>
      </w:r>
      <w:r w:rsidRPr="0057187F">
        <w:rPr>
          <w:rFonts w:cs="Arial"/>
          <w:lang w:eastAsia="ar-SA"/>
        </w:rPr>
        <w:t>zasad</w:t>
      </w:r>
      <w:r w:rsidR="003D0637">
        <w:rPr>
          <w:rFonts w:cs="Arial"/>
          <w:lang w:eastAsia="ar-SA"/>
        </w:rPr>
        <w:t>ą</w:t>
      </w:r>
      <w:r w:rsidRPr="0057187F">
        <w:rPr>
          <w:rFonts w:eastAsia="Calibri" w:cs="Arial"/>
          <w:lang w:eastAsia="en-US"/>
        </w:rPr>
        <w:t>.</w:t>
      </w:r>
      <w:r w:rsidRPr="0057187F">
        <w:rPr>
          <w:rFonts w:cs="Arial"/>
          <w:lang w:eastAsia="ar-SA"/>
        </w:rPr>
        <w:t xml:space="preserve"> Właściwa instytucja dokonująca oceny projektu musi ocenić informacje zawarte przez wnioskodawcę we wniosku o dofinansowanie projektu, wskazujące, dlaczego dany projekt </w:t>
      </w:r>
      <w:r w:rsidR="003D0637">
        <w:rPr>
          <w:rFonts w:cs="Arial"/>
          <w:lang w:eastAsia="ar-SA"/>
        </w:rPr>
        <w:t xml:space="preserve">jest zgodny </w:t>
      </w:r>
      <w:r w:rsidR="00590863">
        <w:rPr>
          <w:rFonts w:cs="Arial"/>
          <w:lang w:eastAsia="ar-SA"/>
        </w:rPr>
        <w:br/>
      </w:r>
      <w:r w:rsidR="003D0637">
        <w:rPr>
          <w:rFonts w:cs="Arial"/>
          <w:lang w:eastAsia="ar-SA"/>
        </w:rPr>
        <w:t>z</w:t>
      </w:r>
      <w:r w:rsidR="003D0637" w:rsidRPr="0057187F">
        <w:rPr>
          <w:rFonts w:cs="Arial"/>
          <w:lang w:eastAsia="ar-SA"/>
        </w:rPr>
        <w:t xml:space="preserve"> </w:t>
      </w:r>
      <w:r w:rsidRPr="0057187F">
        <w:rPr>
          <w:rFonts w:cs="Arial"/>
          <w:lang w:eastAsia="ar-SA"/>
        </w:rPr>
        <w:t>zasad</w:t>
      </w:r>
      <w:r w:rsidR="003D0637">
        <w:rPr>
          <w:rFonts w:cs="Arial"/>
          <w:lang w:eastAsia="ar-SA"/>
        </w:rPr>
        <w:t>ą</w:t>
      </w:r>
      <w:r w:rsidRPr="0057187F">
        <w:rPr>
          <w:rFonts w:cs="Arial"/>
          <w:lang w:eastAsia="ar-SA"/>
        </w:rPr>
        <w:t xml:space="preserve"> równości kobiet i mężczyzn.</w:t>
      </w:r>
    </w:p>
    <w:p w14:paraId="59472071" w14:textId="31BAFA16" w:rsidR="001D2311" w:rsidRPr="0057187F" w:rsidRDefault="001D2311" w:rsidP="0057187F">
      <w:pPr>
        <w:numPr>
          <w:ilvl w:val="0"/>
          <w:numId w:val="14"/>
        </w:numPr>
        <w:suppressAutoHyphens/>
        <w:spacing w:before="120" w:after="120" w:line="360" w:lineRule="auto"/>
        <w:rPr>
          <w:rFonts w:cs="Arial"/>
          <w:lang w:eastAsia="ar-SA"/>
        </w:rPr>
      </w:pPr>
      <w:r w:rsidRPr="0057187F">
        <w:rPr>
          <w:rFonts w:cs="Arial"/>
          <w:lang w:eastAsia="ar-SA"/>
        </w:rPr>
        <w:t>W programach współfinansowanych z EFRR, FS lub FST</w:t>
      </w:r>
      <w:r w:rsidRPr="0057187F">
        <w:rPr>
          <w:rFonts w:cs="Arial"/>
        </w:rPr>
        <w:t xml:space="preserve"> a także </w:t>
      </w:r>
      <w:r w:rsidR="00590863">
        <w:rPr>
          <w:rFonts w:cs="Arial"/>
        </w:rPr>
        <w:br/>
      </w:r>
      <w:r w:rsidRPr="0057187F">
        <w:rPr>
          <w:rFonts w:cs="Arial"/>
        </w:rPr>
        <w:t xml:space="preserve">w </w:t>
      </w:r>
      <w:r w:rsidR="00AB3D6B">
        <w:rPr>
          <w:rFonts w:cs="Arial"/>
        </w:rPr>
        <w:t>priorytetach</w:t>
      </w:r>
      <w:r w:rsidR="00AB3D6B" w:rsidRPr="0057187F">
        <w:rPr>
          <w:rFonts w:cs="Arial"/>
        </w:rPr>
        <w:t xml:space="preserve"> </w:t>
      </w:r>
      <w:r w:rsidRPr="0057187F">
        <w:rPr>
          <w:rFonts w:cs="Arial"/>
        </w:rPr>
        <w:t>pomocy technicznej współfinansowanych z EFS+,</w:t>
      </w:r>
      <w:r w:rsidRPr="0057187F">
        <w:rPr>
          <w:rFonts w:cs="Arial"/>
          <w:sz w:val="18"/>
          <w:szCs w:val="18"/>
        </w:rPr>
        <w:t xml:space="preserve"> </w:t>
      </w:r>
      <w:r w:rsidRPr="0057187F">
        <w:rPr>
          <w:rFonts w:cs="Arial"/>
          <w:lang w:eastAsia="ar-SA"/>
        </w:rPr>
        <w:t>dopuszczalne jest także uznanie neutralności projektu w stosunku do zasady</w:t>
      </w:r>
      <w:r w:rsidRPr="0057187F">
        <w:rPr>
          <w:rFonts w:cs="Arial"/>
        </w:rPr>
        <w:t xml:space="preserve"> </w:t>
      </w:r>
      <w:r w:rsidRPr="0057187F">
        <w:rPr>
          <w:rFonts w:cs="Arial"/>
          <w:lang w:eastAsia="ar-SA"/>
        </w:rPr>
        <w:lastRenderedPageBreak/>
        <w:t xml:space="preserve">równości kobiet i mężczyzn. Decyzja o uznaniu danego projektu za neutralny należy do instytucji oceniającej wniosek o dofinansowanie projektu. </w:t>
      </w:r>
      <w:r w:rsidR="00590863">
        <w:rPr>
          <w:rFonts w:cs="Arial"/>
          <w:lang w:eastAsia="ar-SA"/>
        </w:rPr>
        <w:br/>
      </w:r>
      <w:r w:rsidRPr="0057187F">
        <w:rPr>
          <w:rFonts w:cs="Arial"/>
          <w:lang w:eastAsia="ar-SA"/>
        </w:rPr>
        <w:t xml:space="preserve">O neutralności można mówić jednak tylko wtedy, kiedy we wniosku o dofinansowanie projektu wnioskodawca uzasadni, dlaczego dany projekt nie jest w stanie zrealizować jakichkolwiek działań w zakresie </w:t>
      </w:r>
      <w:r w:rsidR="003D0637">
        <w:rPr>
          <w:rFonts w:cs="Arial"/>
          <w:lang w:eastAsia="ar-SA"/>
        </w:rPr>
        <w:t xml:space="preserve">zgodności z </w:t>
      </w:r>
      <w:r w:rsidRPr="0057187F">
        <w:rPr>
          <w:rFonts w:cs="Arial"/>
          <w:lang w:eastAsia="ar-SA"/>
        </w:rPr>
        <w:t>ww. zasad</w:t>
      </w:r>
      <w:r w:rsidR="003D0637">
        <w:rPr>
          <w:rFonts w:cs="Arial"/>
          <w:lang w:eastAsia="ar-SA"/>
        </w:rPr>
        <w:t>ą</w:t>
      </w:r>
      <w:r w:rsidRPr="0057187F">
        <w:rPr>
          <w:rFonts w:cs="Arial"/>
          <w:lang w:eastAsia="ar-SA"/>
        </w:rPr>
        <w:t>, a uzasadnienie to zostanie uznane przez instytucję oceniającą projekt za adekwatne i wystarczające.</w:t>
      </w:r>
    </w:p>
    <w:p w14:paraId="3820C8EC" w14:textId="6D18DAD5" w:rsidR="002930FE" w:rsidRPr="00186CB0" w:rsidRDefault="00C617B6" w:rsidP="004F5327">
      <w:pPr>
        <w:numPr>
          <w:ilvl w:val="0"/>
          <w:numId w:val="14"/>
        </w:numPr>
        <w:spacing w:before="120" w:after="120" w:line="360" w:lineRule="auto"/>
        <w:rPr>
          <w:rFonts w:cs="Arial"/>
          <w:lang w:eastAsia="ar-SA"/>
        </w:rPr>
      </w:pPr>
      <w:r>
        <w:rPr>
          <w:rFonts w:eastAsia="Calibri" w:cs="Arial"/>
          <w:lang w:eastAsia="en-US"/>
        </w:rPr>
        <w:t xml:space="preserve">Właściwa instytucja w instrukcji wypełniania wniosku </w:t>
      </w:r>
      <w:r w:rsidR="00DA067E">
        <w:rPr>
          <w:rFonts w:eastAsia="Calibri" w:cs="Arial"/>
          <w:lang w:eastAsia="en-US"/>
        </w:rPr>
        <w:t xml:space="preserve">lub </w:t>
      </w:r>
      <w:r w:rsidR="00DA067E" w:rsidRPr="00DA067E">
        <w:rPr>
          <w:rFonts w:eastAsia="Calibri" w:cs="Arial"/>
          <w:lang w:eastAsia="en-US"/>
        </w:rPr>
        <w:t xml:space="preserve">w regulaminie wyboru projektów </w:t>
      </w:r>
      <w:r>
        <w:rPr>
          <w:rFonts w:eastAsia="Calibri" w:cs="Arial"/>
          <w:lang w:eastAsia="en-US"/>
        </w:rPr>
        <w:t xml:space="preserve">wskaże miejsca we wniosku o dofinansowanie, w którym beneficjent powinien umieścić opisu zgodności projektu z zasadą równości </w:t>
      </w:r>
      <w:r w:rsidR="005372CB">
        <w:rPr>
          <w:rFonts w:eastAsia="Calibri" w:cs="Arial"/>
          <w:lang w:eastAsia="en-US"/>
        </w:rPr>
        <w:t>kobiet i mężczyzn</w:t>
      </w:r>
      <w:r>
        <w:rPr>
          <w:rFonts w:eastAsia="Calibri" w:cs="Arial"/>
          <w:lang w:eastAsia="en-US"/>
        </w:rPr>
        <w:t xml:space="preserve">. Opis ten powinien znaleźć się w części wniosku o dofinansowanie, której </w:t>
      </w:r>
      <w:r w:rsidRPr="00DA067E">
        <w:rPr>
          <w:rFonts w:eastAsia="Calibri" w:cs="Arial"/>
          <w:lang w:eastAsia="en-US"/>
        </w:rPr>
        <w:t>zawartość przenoszona jest do CST 2021 np. „opis projektu”, „zadania”</w:t>
      </w:r>
      <w:r w:rsidR="0034588C" w:rsidRPr="00DA067E">
        <w:rPr>
          <w:rFonts w:eastAsia="Calibri" w:cs="Arial"/>
          <w:lang w:eastAsia="en-US"/>
        </w:rPr>
        <w:t xml:space="preserve"> </w:t>
      </w:r>
      <w:r w:rsidRPr="00DA067E">
        <w:rPr>
          <w:rStyle w:val="Odwoanieprzypisudolnego"/>
          <w:rFonts w:eastAsia="Calibri"/>
          <w:lang w:eastAsia="en-US"/>
        </w:rPr>
        <w:footnoteReference w:id="38"/>
      </w:r>
      <w:r w:rsidR="00186CB0">
        <w:rPr>
          <w:rFonts w:eastAsia="Calibri" w:cs="Arial"/>
          <w:lang w:eastAsia="en-US"/>
        </w:rPr>
        <w:t>.</w:t>
      </w:r>
      <w:r w:rsidR="0034588C" w:rsidRPr="00DA067E">
        <w:rPr>
          <w:rFonts w:eastAsia="Calibri" w:cs="Arial"/>
          <w:lang w:eastAsia="en-US"/>
        </w:rPr>
        <w:t xml:space="preserve"> </w:t>
      </w:r>
      <w:bookmarkStart w:id="51" w:name="_Hlk120533235"/>
      <w:r w:rsidR="00DA067E" w:rsidRPr="00DA067E">
        <w:rPr>
          <w:rFonts w:eastAsia="Calibri" w:cs="Arial"/>
          <w:lang w:eastAsia="en-US"/>
        </w:rPr>
        <w:t xml:space="preserve">W przypadku braku takiej możliwości, IZ wprowadza inne </w:t>
      </w:r>
      <w:r w:rsidR="0034588C" w:rsidRPr="00DA067E">
        <w:rPr>
          <w:rFonts w:eastAsia="Calibri" w:cs="Arial"/>
          <w:lang w:eastAsia="en-US"/>
        </w:rPr>
        <w:t>rozwiązanie</w:t>
      </w:r>
      <w:r w:rsidR="00DA067E" w:rsidRPr="00DA067E">
        <w:rPr>
          <w:rFonts w:eastAsia="Calibri" w:cs="Arial"/>
          <w:lang w:eastAsia="en-US"/>
        </w:rPr>
        <w:t>,</w:t>
      </w:r>
      <w:r w:rsidR="0034588C" w:rsidRPr="00DA067E">
        <w:rPr>
          <w:rFonts w:eastAsia="Calibri" w:cs="Arial"/>
          <w:lang w:eastAsia="en-US"/>
        </w:rPr>
        <w:t xml:space="preserve"> pozwalające na identyfikację projektów spełniających zasadę</w:t>
      </w:r>
      <w:r w:rsidR="00DA067E" w:rsidRPr="00DA067E">
        <w:rPr>
          <w:rFonts w:eastAsia="Calibri" w:cs="Arial"/>
          <w:lang w:eastAsia="en-US"/>
        </w:rPr>
        <w:t xml:space="preserve"> równości</w:t>
      </w:r>
      <w:r w:rsidR="00DA067E">
        <w:rPr>
          <w:rFonts w:eastAsia="Calibri" w:cs="Arial"/>
          <w:lang w:eastAsia="en-US"/>
        </w:rPr>
        <w:t xml:space="preserve"> kobiet </w:t>
      </w:r>
      <w:r w:rsidR="00590863">
        <w:rPr>
          <w:rFonts w:eastAsia="Calibri" w:cs="Arial"/>
          <w:lang w:eastAsia="en-US"/>
        </w:rPr>
        <w:br/>
      </w:r>
      <w:r w:rsidR="00DA067E">
        <w:rPr>
          <w:rFonts w:eastAsia="Calibri" w:cs="Arial"/>
          <w:lang w:eastAsia="en-US"/>
        </w:rPr>
        <w:t>i mężczyzn</w:t>
      </w:r>
      <w:bookmarkEnd w:id="51"/>
      <w:r>
        <w:rPr>
          <w:rFonts w:eastAsia="Calibri" w:cs="Arial"/>
          <w:lang w:eastAsia="en-US"/>
        </w:rPr>
        <w:t xml:space="preserve">. Zalecane jest również </w:t>
      </w:r>
      <w:r w:rsidR="00DA067E">
        <w:rPr>
          <w:rFonts w:eastAsia="Calibri" w:cs="Arial"/>
          <w:lang w:eastAsia="en-US"/>
        </w:rPr>
        <w:t>zobowiązanie do</w:t>
      </w:r>
      <w:r>
        <w:rPr>
          <w:rFonts w:eastAsia="Calibri" w:cs="Arial"/>
          <w:lang w:eastAsia="en-US"/>
        </w:rPr>
        <w:t xml:space="preserve"> zachowani</w:t>
      </w:r>
      <w:r w:rsidR="00DA067E">
        <w:rPr>
          <w:rFonts w:eastAsia="Calibri" w:cs="Arial"/>
          <w:lang w:eastAsia="en-US"/>
        </w:rPr>
        <w:t>a</w:t>
      </w:r>
      <w:r>
        <w:rPr>
          <w:rFonts w:eastAsia="Calibri" w:cs="Arial"/>
          <w:lang w:eastAsia="en-US"/>
        </w:rPr>
        <w:t xml:space="preserve"> jednolitego sposobu nazewnictwa elementów dotyczących wykazania zgodność z zasadami równościowymi</w:t>
      </w:r>
      <w:r w:rsidR="00DA067E">
        <w:rPr>
          <w:rFonts w:eastAsia="Calibri" w:cs="Arial"/>
          <w:lang w:eastAsia="en-US"/>
        </w:rPr>
        <w:t xml:space="preserve">. </w:t>
      </w:r>
    </w:p>
    <w:p w14:paraId="6BF36454" w14:textId="63BD92C6" w:rsidR="002930FE" w:rsidRPr="008D230E" w:rsidRDefault="001D2311" w:rsidP="008D230E">
      <w:pPr>
        <w:numPr>
          <w:ilvl w:val="0"/>
          <w:numId w:val="14"/>
        </w:numPr>
        <w:suppressAutoHyphens/>
        <w:spacing w:before="120" w:after="120" w:line="360" w:lineRule="auto"/>
        <w:rPr>
          <w:rFonts w:cs="Arial"/>
          <w:lang w:eastAsia="ar-SA"/>
        </w:rPr>
      </w:pPr>
      <w:r w:rsidRPr="0057187F">
        <w:rPr>
          <w:rFonts w:cs="Arial"/>
          <w:lang w:eastAsia="ar-SA"/>
        </w:rPr>
        <w:t>Poza kryteriami horyzontalnymi, wskazanymi powyżej, zalecane jest stosowanie kryteriów premiujących równość kobiet i mężczyzn, które zachęcą wnioskodawców do składania projektów w większym stopniu wrażliwych na równość kobiet i mężczyzn. Można także wyodrębnić część alokacji na projekty ukierunkowane na rozwiązanie zidentyfikowanych w tym obszarze problemów, które zostaną dofinansowane przy zastosowaniu odpowiednich kryteriów dostępu/obligatoryjnych lub wyodrębnić nowe działanie/poddziałanie.</w:t>
      </w:r>
    </w:p>
    <w:p w14:paraId="4A83B071" w14:textId="204B64EF" w:rsidR="00A11BDA" w:rsidRPr="00DA067E" w:rsidRDefault="002930FE" w:rsidP="00A11BDA">
      <w:pPr>
        <w:numPr>
          <w:ilvl w:val="0"/>
          <w:numId w:val="14"/>
        </w:numPr>
        <w:suppressAutoHyphens/>
        <w:spacing w:before="120" w:after="120" w:line="360" w:lineRule="auto"/>
        <w:rPr>
          <w:rFonts w:cs="Arial"/>
          <w:lang w:eastAsia="ar-SA"/>
        </w:rPr>
      </w:pPr>
      <w:r>
        <w:rPr>
          <w:rFonts w:eastAsia="Calibri" w:cs="Arial"/>
          <w:lang w:eastAsia="en-US"/>
        </w:rPr>
        <w:t>W ramach systemu CST 2021 każdy projekt zostanie przez właściw</w:t>
      </w:r>
      <w:r w:rsidR="00A11BDA">
        <w:rPr>
          <w:rFonts w:eastAsia="Calibri" w:cs="Arial"/>
          <w:lang w:eastAsia="en-US"/>
        </w:rPr>
        <w:t xml:space="preserve">ą </w:t>
      </w:r>
      <w:r>
        <w:rPr>
          <w:rFonts w:eastAsia="Calibri" w:cs="Arial"/>
          <w:lang w:eastAsia="en-US"/>
        </w:rPr>
        <w:t>instytucje przypisany do której</w:t>
      </w:r>
      <w:r w:rsidR="00A11BDA">
        <w:rPr>
          <w:rFonts w:eastAsia="Calibri" w:cs="Arial"/>
          <w:lang w:eastAsia="en-US"/>
        </w:rPr>
        <w:t>ś</w:t>
      </w:r>
      <w:r>
        <w:rPr>
          <w:rFonts w:eastAsia="Calibri" w:cs="Arial"/>
          <w:lang w:eastAsia="en-US"/>
        </w:rPr>
        <w:t xml:space="preserve"> z trzech kategorii</w:t>
      </w:r>
      <w:r w:rsidR="00A11BDA">
        <w:rPr>
          <w:rFonts w:eastAsia="Calibri" w:cs="Arial"/>
          <w:lang w:eastAsia="en-US"/>
        </w:rPr>
        <w:t xml:space="preserve">: </w:t>
      </w:r>
    </w:p>
    <w:p w14:paraId="05B364BF" w14:textId="21BCA173" w:rsidR="00A11BDA" w:rsidRPr="00DA067E" w:rsidRDefault="00A11BDA" w:rsidP="00DA067E">
      <w:pPr>
        <w:pStyle w:val="Akapitzlist"/>
        <w:numPr>
          <w:ilvl w:val="0"/>
          <w:numId w:val="22"/>
        </w:numPr>
        <w:suppressAutoHyphens/>
        <w:spacing w:before="120" w:after="120" w:line="360" w:lineRule="auto"/>
        <w:ind w:left="1418" w:hanging="425"/>
        <w:rPr>
          <w:rFonts w:cs="Arial"/>
          <w:lang w:eastAsia="ar-SA"/>
        </w:rPr>
      </w:pPr>
      <w:r w:rsidRPr="00DA067E">
        <w:rPr>
          <w:rFonts w:eastAsia="Calibri" w:cs="Arial"/>
          <w:lang w:eastAsia="en-US"/>
        </w:rPr>
        <w:t>projekt jest neutralny do zasady równości kobiet i mężczyzn,</w:t>
      </w:r>
    </w:p>
    <w:p w14:paraId="6CC4E1C8" w14:textId="379017FE" w:rsidR="00A11BDA" w:rsidRPr="00DA067E" w:rsidRDefault="00A11BDA" w:rsidP="00DA067E">
      <w:pPr>
        <w:pStyle w:val="Akapitzlist"/>
        <w:numPr>
          <w:ilvl w:val="0"/>
          <w:numId w:val="22"/>
        </w:numPr>
        <w:suppressAutoHyphens/>
        <w:spacing w:before="120" w:after="120" w:line="360" w:lineRule="auto"/>
        <w:ind w:left="1418" w:hanging="425"/>
        <w:rPr>
          <w:rFonts w:eastAsia="Calibri" w:cs="Arial"/>
          <w:lang w:eastAsia="en-US"/>
        </w:rPr>
      </w:pPr>
      <w:r w:rsidRPr="00DA067E">
        <w:rPr>
          <w:rFonts w:eastAsia="Calibri" w:cs="Arial"/>
          <w:lang w:eastAsia="en-US"/>
        </w:rPr>
        <w:lastRenderedPageBreak/>
        <w:t xml:space="preserve">projekt jest ukierunkowany na zasadę równości kobiet i mężczyzn </w:t>
      </w:r>
    </w:p>
    <w:p w14:paraId="735CDDE7" w14:textId="7F38BFAC" w:rsidR="002930FE" w:rsidRPr="00DA067E" w:rsidRDefault="00A11BDA" w:rsidP="00DA067E">
      <w:pPr>
        <w:pStyle w:val="Akapitzlist"/>
        <w:numPr>
          <w:ilvl w:val="0"/>
          <w:numId w:val="22"/>
        </w:numPr>
        <w:suppressAutoHyphens/>
        <w:spacing w:before="120" w:after="120" w:line="360" w:lineRule="auto"/>
        <w:ind w:left="1418" w:hanging="425"/>
        <w:rPr>
          <w:rFonts w:eastAsia="Calibri" w:cs="Arial"/>
          <w:lang w:eastAsia="en-US"/>
        </w:rPr>
      </w:pPr>
      <w:r w:rsidRPr="00DA067E">
        <w:rPr>
          <w:rFonts w:eastAsia="Calibri" w:cs="Arial"/>
          <w:lang w:eastAsia="en-US"/>
        </w:rPr>
        <w:t>projekt uwzględnia zasadę równości kobiet i mężczyzn</w:t>
      </w:r>
    </w:p>
    <w:p w14:paraId="10BCB031" w14:textId="22697E6E" w:rsidR="00A11BDA" w:rsidRPr="00A11BDA" w:rsidRDefault="00A11BDA" w:rsidP="00DA067E">
      <w:pPr>
        <w:suppressAutoHyphens/>
        <w:spacing w:before="120" w:after="120" w:line="360" w:lineRule="auto"/>
        <w:ind w:left="709"/>
        <w:rPr>
          <w:rFonts w:cs="Arial"/>
          <w:lang w:eastAsia="ar-SA"/>
        </w:rPr>
      </w:pPr>
      <w:r>
        <w:rPr>
          <w:rFonts w:cs="Arial"/>
          <w:lang w:eastAsia="ar-SA"/>
        </w:rPr>
        <w:t>W przypadku projektów współfinansowanych z EFS+ nie ma możliwości zaznaczenia, że projekt jest neutralny.</w:t>
      </w:r>
    </w:p>
    <w:p w14:paraId="00C6F6B6" w14:textId="77777777" w:rsidR="002930FE" w:rsidRPr="0057187F" w:rsidRDefault="002930FE" w:rsidP="00DA067E">
      <w:pPr>
        <w:suppressAutoHyphens/>
        <w:spacing w:before="120" w:after="120" w:line="360" w:lineRule="auto"/>
        <w:ind w:left="720"/>
        <w:rPr>
          <w:rFonts w:cs="Arial"/>
          <w:lang w:eastAsia="ar-SA"/>
        </w:rPr>
      </w:pPr>
    </w:p>
    <w:p w14:paraId="6D36252E" w14:textId="7EB04C30" w:rsidR="001D2311" w:rsidRPr="0057187F" w:rsidRDefault="001D2311" w:rsidP="0057187F">
      <w:pPr>
        <w:pStyle w:val="Nagwek1"/>
        <w:rPr>
          <w:rFonts w:cs="Arial"/>
        </w:rPr>
      </w:pPr>
      <w:bookmarkStart w:id="52" w:name="_Toc108787456"/>
      <w:r w:rsidRPr="0057187F">
        <w:rPr>
          <w:rFonts w:cs="Arial"/>
        </w:rPr>
        <w:t xml:space="preserve">Rozdział 5. </w:t>
      </w:r>
      <w:r w:rsidR="0057187F" w:rsidRPr="0057187F">
        <w:rPr>
          <w:rFonts w:cs="Arial"/>
        </w:rPr>
        <w:t>Wspólne postanowienia dotyczące realizacji zasad równościowych w procesie wdrażania EFS+, EFRR, FS i FST</w:t>
      </w:r>
      <w:bookmarkEnd w:id="52"/>
    </w:p>
    <w:p w14:paraId="64C3AB2C" w14:textId="3013D01F" w:rsidR="001D2311" w:rsidRPr="0057187F" w:rsidRDefault="001D2311" w:rsidP="0057187F">
      <w:pPr>
        <w:pStyle w:val="Nagwek2"/>
        <w:rPr>
          <w:rFonts w:cs="Arial"/>
        </w:rPr>
      </w:pPr>
      <w:bookmarkStart w:id="53" w:name="_Toc108787457"/>
      <w:r w:rsidRPr="0057187F">
        <w:rPr>
          <w:rFonts w:cs="Arial"/>
        </w:rPr>
        <w:t xml:space="preserve">Podrozdział </w:t>
      </w:r>
      <w:r w:rsidR="0057187F" w:rsidRPr="0057187F">
        <w:rPr>
          <w:rFonts w:cs="Arial"/>
        </w:rPr>
        <w:t>5</w:t>
      </w:r>
      <w:r w:rsidRPr="0057187F">
        <w:rPr>
          <w:rFonts w:cs="Arial"/>
        </w:rPr>
        <w:t xml:space="preserve">.1. </w:t>
      </w:r>
      <w:r w:rsidR="0057187F" w:rsidRPr="0057187F">
        <w:rPr>
          <w:rFonts w:cs="Arial"/>
        </w:rPr>
        <w:t>Wymagania ogólne</w:t>
      </w:r>
      <w:bookmarkEnd w:id="53"/>
    </w:p>
    <w:p w14:paraId="0C548CE4" w14:textId="77777777" w:rsidR="0057187F" w:rsidRPr="0057187F" w:rsidRDefault="0057187F" w:rsidP="0057187F">
      <w:pPr>
        <w:numPr>
          <w:ilvl w:val="0"/>
          <w:numId w:val="18"/>
        </w:numPr>
        <w:spacing w:before="120" w:after="120" w:line="360" w:lineRule="auto"/>
        <w:rPr>
          <w:rFonts w:cs="Arial"/>
          <w:lang w:eastAsia="ar-SA"/>
        </w:rPr>
      </w:pPr>
      <w:r w:rsidRPr="0057187F">
        <w:rPr>
          <w:rFonts w:cs="Arial"/>
          <w:lang w:eastAsia="ar-SA"/>
        </w:rPr>
        <w:t>Każda IZ lub inna, właściwa instytucja w okresie wdrażania programu podejmuje następujące działania:</w:t>
      </w:r>
    </w:p>
    <w:p w14:paraId="22ADC120" w14:textId="4D284443" w:rsidR="0057187F" w:rsidRPr="0057187F" w:rsidRDefault="0057187F" w:rsidP="0057187F">
      <w:pPr>
        <w:numPr>
          <w:ilvl w:val="0"/>
          <w:numId w:val="15"/>
        </w:numPr>
        <w:spacing w:before="120" w:after="120" w:line="360" w:lineRule="auto"/>
        <w:ind w:left="1068"/>
        <w:rPr>
          <w:rFonts w:cs="Arial"/>
          <w:lang w:eastAsia="ar-SA"/>
        </w:rPr>
      </w:pPr>
      <w:r w:rsidRPr="0057187F">
        <w:rPr>
          <w:rFonts w:cs="Arial"/>
          <w:lang w:eastAsia="ar-SA"/>
        </w:rPr>
        <w:t xml:space="preserve">udostępnia na stronach internetowych danego programu materiały lub linki do materiałów </w:t>
      </w:r>
      <w:r w:rsidR="00621D92" w:rsidRPr="00621D92">
        <w:rPr>
          <w:rFonts w:cs="Arial"/>
          <w:lang w:eastAsia="ar-SA"/>
        </w:rPr>
        <w:t>na temat sytuacji wszystkich grup (zgodnie z przesłankami wymienionymi w art. 9 rozporządzenia ogólnego)</w:t>
      </w:r>
      <w:r w:rsidR="00621D92">
        <w:rPr>
          <w:rFonts w:cs="Arial"/>
          <w:lang w:eastAsia="ar-SA"/>
        </w:rPr>
        <w:t xml:space="preserve"> </w:t>
      </w:r>
      <w:r w:rsidR="00621D92" w:rsidRPr="00621D92">
        <w:rPr>
          <w:rFonts w:cs="Arial"/>
          <w:lang w:eastAsia="ar-SA"/>
        </w:rPr>
        <w:t>narażonych na dyskryminację</w:t>
      </w:r>
      <w:r w:rsidRPr="0057187F">
        <w:rPr>
          <w:rFonts w:cs="Arial"/>
          <w:lang w:eastAsia="ar-SA"/>
        </w:rPr>
        <w:t>;</w:t>
      </w:r>
    </w:p>
    <w:p w14:paraId="7ED6A83C" w14:textId="65858BC9" w:rsidR="0057187F" w:rsidRPr="0057187F" w:rsidRDefault="0057187F" w:rsidP="0057187F">
      <w:pPr>
        <w:numPr>
          <w:ilvl w:val="0"/>
          <w:numId w:val="15"/>
        </w:numPr>
        <w:spacing w:before="120" w:after="120" w:line="360" w:lineRule="auto"/>
        <w:ind w:left="1068"/>
        <w:rPr>
          <w:rFonts w:cs="Arial"/>
          <w:lang w:eastAsia="ar-SA"/>
        </w:rPr>
      </w:pPr>
      <w:r w:rsidRPr="0057187F">
        <w:rPr>
          <w:rFonts w:cs="Arial"/>
          <w:lang w:eastAsia="ar-SA"/>
        </w:rPr>
        <w:t xml:space="preserve">organizuje spotkania informacyjne, doradztwo i szkolenia dla </w:t>
      </w:r>
      <w:r w:rsidR="005372CB">
        <w:rPr>
          <w:rFonts w:cs="Arial"/>
          <w:lang w:eastAsia="ar-SA"/>
        </w:rPr>
        <w:t xml:space="preserve">wnioskodawców i </w:t>
      </w:r>
      <w:r w:rsidRPr="0057187F">
        <w:rPr>
          <w:rFonts w:cs="Arial"/>
          <w:lang w:eastAsia="ar-SA"/>
        </w:rPr>
        <w:t xml:space="preserve">beneficjentów, zawierające wskazówki jak realizować zasady horyzontalne w danym typie projektów (np. przed ogłoszeniem danego naboru), uwzględniając </w:t>
      </w:r>
      <w:r w:rsidR="00621D92">
        <w:rPr>
          <w:rFonts w:cs="Arial"/>
          <w:lang w:eastAsia="ar-SA"/>
        </w:rPr>
        <w:t>wszystkie</w:t>
      </w:r>
      <w:r w:rsidR="00621D92" w:rsidRPr="0057187F">
        <w:rPr>
          <w:rFonts w:cs="Arial"/>
          <w:lang w:eastAsia="ar-SA"/>
        </w:rPr>
        <w:t xml:space="preserve"> </w:t>
      </w:r>
      <w:r w:rsidRPr="0057187F">
        <w:rPr>
          <w:rFonts w:cs="Arial"/>
          <w:lang w:eastAsia="ar-SA"/>
        </w:rPr>
        <w:t>przesłanki dyskryminacji</w:t>
      </w:r>
      <w:r w:rsidR="00EA0A03">
        <w:rPr>
          <w:rFonts w:cs="Arial"/>
          <w:lang w:eastAsia="ar-SA"/>
        </w:rPr>
        <w:t>,</w:t>
      </w:r>
      <w:r w:rsidR="00EA0A03" w:rsidRPr="00EA0A03">
        <w:rPr>
          <w:rFonts w:cs="Arial"/>
          <w:lang w:eastAsia="ar-SA"/>
        </w:rPr>
        <w:t xml:space="preserve"> które wskazano w art. 9 rozporządzenia ogólnego;</w:t>
      </w:r>
    </w:p>
    <w:p w14:paraId="0C010E2B" w14:textId="08E6A7B8" w:rsidR="0057187F" w:rsidRPr="0057187F" w:rsidRDefault="0057187F" w:rsidP="0057187F">
      <w:pPr>
        <w:numPr>
          <w:ilvl w:val="0"/>
          <w:numId w:val="15"/>
        </w:numPr>
        <w:spacing w:before="120" w:after="120" w:line="360" w:lineRule="auto"/>
        <w:ind w:left="1068"/>
        <w:rPr>
          <w:rFonts w:cs="Arial"/>
          <w:lang w:eastAsia="ar-SA"/>
        </w:rPr>
      </w:pPr>
      <w:r w:rsidRPr="0057187F">
        <w:rPr>
          <w:rFonts w:cs="Arial"/>
          <w:lang w:eastAsia="ar-SA"/>
        </w:rPr>
        <w:t xml:space="preserve">organizuje </w:t>
      </w:r>
      <w:r w:rsidR="00621D92">
        <w:rPr>
          <w:rFonts w:cs="Arial"/>
          <w:lang w:eastAsia="ar-SA"/>
        </w:rPr>
        <w:t>c</w:t>
      </w:r>
      <w:r w:rsidR="00621D92" w:rsidRPr="00621D92">
        <w:rPr>
          <w:rFonts w:cs="Arial"/>
          <w:lang w:eastAsia="ar-SA"/>
        </w:rPr>
        <w:t>o najmniej jedno szkolenie rocznie</w:t>
      </w:r>
      <w:r w:rsidR="00621D92">
        <w:rPr>
          <w:rFonts w:cs="Arial"/>
          <w:lang w:eastAsia="ar-SA"/>
        </w:rPr>
        <w:t xml:space="preserve"> </w:t>
      </w:r>
      <w:r w:rsidR="00DF14D2">
        <w:rPr>
          <w:rFonts w:cs="Arial"/>
          <w:lang w:eastAsia="ar-SA"/>
        </w:rPr>
        <w:t xml:space="preserve">odpowiednio </w:t>
      </w:r>
      <w:r w:rsidRPr="0057187F">
        <w:rPr>
          <w:rFonts w:cs="Arial"/>
          <w:lang w:eastAsia="ar-SA"/>
        </w:rPr>
        <w:t>dla pracowników IZ lub innych, właściwych instytucji</w:t>
      </w:r>
      <w:r w:rsidR="00B36D97">
        <w:rPr>
          <w:rFonts w:cs="Arial"/>
          <w:lang w:eastAsia="ar-SA"/>
        </w:rPr>
        <w:t xml:space="preserve"> </w:t>
      </w:r>
      <w:r w:rsidR="00B36D97" w:rsidRPr="00B36D97">
        <w:rPr>
          <w:rFonts w:cs="Arial"/>
          <w:lang w:eastAsia="ar-SA"/>
        </w:rPr>
        <w:t>oraz</w:t>
      </w:r>
      <w:r w:rsidR="00B36D97">
        <w:rPr>
          <w:rFonts w:cs="Arial"/>
          <w:lang w:eastAsia="ar-SA"/>
        </w:rPr>
        <w:t xml:space="preserve"> członków</w:t>
      </w:r>
      <w:r w:rsidR="00B36D97" w:rsidRPr="00B36D97">
        <w:rPr>
          <w:rFonts w:cs="Arial"/>
          <w:lang w:eastAsia="ar-SA"/>
        </w:rPr>
        <w:t xml:space="preserve"> komisji oceny projektów</w:t>
      </w:r>
      <w:r w:rsidRPr="0057187F">
        <w:rPr>
          <w:rFonts w:cs="Arial"/>
          <w:lang w:eastAsia="ar-SA"/>
        </w:rPr>
        <w:t>, w zakresie zasady równości kobiet i mężczyzn oraz zasady równości szans i niedyskryminacji</w:t>
      </w:r>
      <w:r w:rsidRPr="0057187F">
        <w:rPr>
          <w:rFonts w:cs="Arial"/>
          <w:vertAlign w:val="superscript"/>
          <w:lang w:eastAsia="ar-SA"/>
        </w:rPr>
        <w:footnoteReference w:id="39"/>
      </w:r>
      <w:r w:rsidRPr="0057187F">
        <w:rPr>
          <w:rFonts w:cs="Arial"/>
          <w:lang w:eastAsia="ar-SA"/>
        </w:rPr>
        <w:t>;</w:t>
      </w:r>
    </w:p>
    <w:p w14:paraId="1F895194" w14:textId="77777777" w:rsidR="0057187F" w:rsidRPr="0057187F" w:rsidRDefault="0057187F" w:rsidP="0057187F">
      <w:pPr>
        <w:numPr>
          <w:ilvl w:val="0"/>
          <w:numId w:val="15"/>
        </w:numPr>
        <w:spacing w:before="120" w:after="120" w:line="360" w:lineRule="auto"/>
        <w:ind w:left="1068"/>
        <w:rPr>
          <w:rFonts w:cs="Arial"/>
          <w:lang w:eastAsia="ar-SA"/>
        </w:rPr>
      </w:pPr>
      <w:r w:rsidRPr="0057187F">
        <w:rPr>
          <w:rFonts w:cs="Arial"/>
          <w:lang w:eastAsia="ar-SA"/>
        </w:rPr>
        <w:lastRenderedPageBreak/>
        <w:t>monitoruje przygotowywane dokumenty programowe lub dokumenty naboru pod kątem zgodności z zasadami;</w:t>
      </w:r>
    </w:p>
    <w:p w14:paraId="720B58F4" w14:textId="76C2BC83" w:rsidR="0057187F" w:rsidRPr="0057187F" w:rsidRDefault="0057187F" w:rsidP="0057187F">
      <w:pPr>
        <w:numPr>
          <w:ilvl w:val="0"/>
          <w:numId w:val="15"/>
        </w:numPr>
        <w:spacing w:before="120" w:after="120" w:line="360" w:lineRule="auto"/>
        <w:ind w:left="1068"/>
        <w:rPr>
          <w:rFonts w:cs="Arial"/>
          <w:lang w:eastAsia="ar-SA"/>
        </w:rPr>
      </w:pPr>
      <w:r w:rsidRPr="0057187F">
        <w:rPr>
          <w:rFonts w:cs="Arial"/>
          <w:lang w:eastAsia="ar-SA"/>
        </w:rPr>
        <w:t>wyznacza Koordynatora/Koordynatorkę zasad równościowych. Stanowisko to powinno b</w:t>
      </w:r>
      <w:r w:rsidR="007F076D">
        <w:rPr>
          <w:rFonts w:cs="Arial"/>
          <w:lang w:eastAsia="ar-SA"/>
        </w:rPr>
        <w:t>yć powołane w  IZ (jeden Koordynator/ jedna Koordynatorka dla całego programu) albo w IP (po jednym Koordynatorze/jednej Koordynatorce na IP). Koordynator/Koordynatorka powinie</w:t>
      </w:r>
      <w:r w:rsidR="006560F1">
        <w:rPr>
          <w:rFonts w:cs="Arial"/>
          <w:lang w:eastAsia="ar-SA"/>
        </w:rPr>
        <w:t>n</w:t>
      </w:r>
      <w:r w:rsidR="007F076D">
        <w:rPr>
          <w:rFonts w:cs="Arial"/>
          <w:lang w:eastAsia="ar-SA"/>
        </w:rPr>
        <w:t>/powinna być umiejscowiona w strukturze instytucji</w:t>
      </w:r>
      <w:r w:rsidRPr="0057187F">
        <w:rPr>
          <w:rFonts w:cs="Arial"/>
          <w:lang w:eastAsia="ar-SA"/>
        </w:rPr>
        <w:t xml:space="preserve"> w taki sposób, aby </w:t>
      </w:r>
      <w:r w:rsidR="007F5555">
        <w:rPr>
          <w:rFonts w:cs="Arial"/>
          <w:lang w:eastAsia="ar-SA"/>
        </w:rPr>
        <w:t xml:space="preserve">być </w:t>
      </w:r>
      <w:r w:rsidR="007F5555" w:rsidRPr="0057187F">
        <w:rPr>
          <w:rFonts w:cs="Arial"/>
          <w:lang w:eastAsia="ar-SA"/>
        </w:rPr>
        <w:t>umocowan</w:t>
      </w:r>
      <w:r w:rsidR="007F5555">
        <w:rPr>
          <w:rFonts w:cs="Arial"/>
          <w:lang w:eastAsia="ar-SA"/>
        </w:rPr>
        <w:t xml:space="preserve">ym </w:t>
      </w:r>
      <w:r w:rsidRPr="0057187F">
        <w:rPr>
          <w:rFonts w:cs="Arial"/>
          <w:lang w:eastAsia="ar-SA"/>
        </w:rPr>
        <w:t xml:space="preserve">do rzeczywistego oddziaływania na różne </w:t>
      </w:r>
      <w:r w:rsidR="007F5555">
        <w:rPr>
          <w:rFonts w:cs="Arial"/>
          <w:lang w:eastAsia="ar-SA"/>
        </w:rPr>
        <w:t xml:space="preserve">procesy </w:t>
      </w:r>
      <w:r w:rsidRPr="0057187F">
        <w:rPr>
          <w:rFonts w:cs="Arial"/>
          <w:lang w:eastAsia="ar-SA"/>
        </w:rPr>
        <w:t>wdrażania programu. Osoba ta powinna m.in.:</w:t>
      </w:r>
    </w:p>
    <w:p w14:paraId="7514D2FD" w14:textId="13BCFB5D" w:rsidR="000807EE" w:rsidRDefault="000807EE" w:rsidP="0057187F">
      <w:pPr>
        <w:numPr>
          <w:ilvl w:val="0"/>
          <w:numId w:val="16"/>
        </w:numPr>
        <w:spacing w:before="120" w:after="120" w:line="360" w:lineRule="auto"/>
        <w:rPr>
          <w:rFonts w:cs="Arial"/>
          <w:lang w:eastAsia="ar-SA"/>
        </w:rPr>
      </w:pPr>
      <w:r>
        <w:rPr>
          <w:rFonts w:cs="Arial"/>
          <w:lang w:eastAsia="ar-SA"/>
        </w:rPr>
        <w:t>p</w:t>
      </w:r>
      <w:r w:rsidRPr="000807EE">
        <w:rPr>
          <w:rFonts w:cs="Arial"/>
          <w:lang w:eastAsia="ar-SA"/>
        </w:rPr>
        <w:t>osiadać</w:t>
      </w:r>
      <w:r w:rsidR="00EA243D">
        <w:rPr>
          <w:rFonts w:cs="Arial"/>
          <w:lang w:eastAsia="ar-SA"/>
        </w:rPr>
        <w:t>,</w:t>
      </w:r>
      <w:r w:rsidRPr="000807EE">
        <w:rPr>
          <w:rFonts w:cs="Arial"/>
          <w:lang w:eastAsia="ar-SA"/>
        </w:rPr>
        <w:t xml:space="preserve"> </w:t>
      </w:r>
      <w:r>
        <w:rPr>
          <w:rFonts w:cs="Arial"/>
          <w:lang w:eastAsia="ar-SA"/>
        </w:rPr>
        <w:t>w miarę możliwości</w:t>
      </w:r>
      <w:r w:rsidR="00EA243D">
        <w:rPr>
          <w:rFonts w:cs="Arial"/>
          <w:lang w:eastAsia="ar-SA"/>
        </w:rPr>
        <w:t>,</w:t>
      </w:r>
      <w:r>
        <w:rPr>
          <w:rFonts w:cs="Arial"/>
          <w:lang w:eastAsia="ar-SA"/>
        </w:rPr>
        <w:t xml:space="preserve"> </w:t>
      </w:r>
      <w:r w:rsidRPr="000807EE">
        <w:rPr>
          <w:rFonts w:cs="Arial"/>
          <w:lang w:eastAsia="ar-SA"/>
        </w:rPr>
        <w:t xml:space="preserve">odpowiednie przygotowanie merytoryczne do pełnienia </w:t>
      </w:r>
      <w:r w:rsidR="007F5555">
        <w:rPr>
          <w:rFonts w:cs="Arial"/>
          <w:lang w:eastAsia="ar-SA"/>
        </w:rPr>
        <w:t xml:space="preserve">swojej </w:t>
      </w:r>
      <w:r w:rsidRPr="000807EE">
        <w:rPr>
          <w:rFonts w:cs="Arial"/>
          <w:lang w:eastAsia="ar-SA"/>
        </w:rPr>
        <w:t xml:space="preserve"> funkcji</w:t>
      </w:r>
      <w:r>
        <w:rPr>
          <w:rFonts w:cs="Arial"/>
          <w:lang w:eastAsia="ar-SA"/>
        </w:rPr>
        <w:t xml:space="preserve"> (np. szkolenie)</w:t>
      </w:r>
      <w:r w:rsidR="00EA243D">
        <w:rPr>
          <w:rFonts w:cs="Arial"/>
          <w:lang w:eastAsia="ar-SA"/>
        </w:rPr>
        <w:t>;</w:t>
      </w:r>
    </w:p>
    <w:p w14:paraId="38607FB4" w14:textId="49CA6716" w:rsidR="0057187F" w:rsidRPr="0057187F" w:rsidRDefault="0057187F" w:rsidP="0057187F">
      <w:pPr>
        <w:numPr>
          <w:ilvl w:val="0"/>
          <w:numId w:val="16"/>
        </w:numPr>
        <w:spacing w:before="120" w:after="120" w:line="360" w:lineRule="auto"/>
        <w:rPr>
          <w:rFonts w:cs="Arial"/>
          <w:lang w:eastAsia="ar-SA"/>
        </w:rPr>
      </w:pPr>
      <w:r w:rsidRPr="0057187F">
        <w:rPr>
          <w:rFonts w:cs="Arial"/>
          <w:lang w:eastAsia="ar-SA"/>
        </w:rPr>
        <w:t>koordynować wdrażanie zasad</w:t>
      </w:r>
      <w:r w:rsidR="007F5555">
        <w:rPr>
          <w:rFonts w:cs="Arial"/>
          <w:lang w:eastAsia="ar-SA"/>
        </w:rPr>
        <w:t xml:space="preserve"> równościowych</w:t>
      </w:r>
      <w:r w:rsidRPr="0057187F">
        <w:rPr>
          <w:rFonts w:cs="Arial"/>
          <w:lang w:eastAsia="ar-SA"/>
        </w:rPr>
        <w:t xml:space="preserve"> poprzez np. organizację spotkań informacyjnych dla pracowników instytucji w danym programie we współpracy z innymi komórkami organizacyjnymi </w:t>
      </w:r>
      <w:r w:rsidR="007F5555">
        <w:rPr>
          <w:rFonts w:cs="Arial"/>
          <w:lang w:eastAsia="ar-SA"/>
        </w:rPr>
        <w:t xml:space="preserve">tej </w:t>
      </w:r>
      <w:r w:rsidRPr="0057187F">
        <w:rPr>
          <w:rFonts w:cs="Arial"/>
          <w:lang w:eastAsia="ar-SA"/>
        </w:rPr>
        <w:t>instytucji;</w:t>
      </w:r>
    </w:p>
    <w:p w14:paraId="783266ED" w14:textId="357C091F" w:rsidR="007F5555" w:rsidRDefault="0057187F" w:rsidP="0057187F">
      <w:pPr>
        <w:numPr>
          <w:ilvl w:val="0"/>
          <w:numId w:val="16"/>
        </w:numPr>
        <w:spacing w:before="120" w:after="120" w:line="360" w:lineRule="auto"/>
        <w:rPr>
          <w:rFonts w:cs="Arial"/>
          <w:lang w:eastAsia="ar-SA"/>
        </w:rPr>
      </w:pPr>
      <w:r w:rsidRPr="0057187F">
        <w:rPr>
          <w:rFonts w:cs="Arial"/>
          <w:lang w:eastAsia="ar-SA"/>
        </w:rPr>
        <w:t>być osobą właściwą do pierwszego kontaktu w kwestiach zasad</w:t>
      </w:r>
      <w:r w:rsidR="007F5555">
        <w:rPr>
          <w:rFonts w:cs="Arial"/>
          <w:lang w:eastAsia="ar-SA"/>
        </w:rPr>
        <w:t xml:space="preserve"> równościowych</w:t>
      </w:r>
      <w:r w:rsidRPr="0057187F">
        <w:rPr>
          <w:rFonts w:cs="Arial"/>
          <w:lang w:eastAsia="ar-SA"/>
        </w:rPr>
        <w:t xml:space="preserve">, służyć radą i opinią w kwestiach </w:t>
      </w:r>
      <w:r w:rsidR="007F5555">
        <w:rPr>
          <w:rFonts w:cs="Arial"/>
          <w:lang w:eastAsia="ar-SA"/>
        </w:rPr>
        <w:t>problemowych;</w:t>
      </w:r>
      <w:r w:rsidR="00994181">
        <w:rPr>
          <w:rFonts w:cs="Arial"/>
          <w:lang w:eastAsia="ar-SA"/>
        </w:rPr>
        <w:t xml:space="preserve"> </w:t>
      </w:r>
    </w:p>
    <w:p w14:paraId="690FE7FE" w14:textId="4DEDFD5F" w:rsidR="0057187F" w:rsidRPr="0057187F" w:rsidRDefault="00994181" w:rsidP="0057187F">
      <w:pPr>
        <w:numPr>
          <w:ilvl w:val="0"/>
          <w:numId w:val="16"/>
        </w:numPr>
        <w:spacing w:before="120" w:after="120" w:line="360" w:lineRule="auto"/>
        <w:rPr>
          <w:rFonts w:cs="Arial"/>
          <w:lang w:eastAsia="ar-SA"/>
        </w:rPr>
      </w:pPr>
      <w:r>
        <w:rPr>
          <w:rFonts w:cs="Arial"/>
          <w:lang w:eastAsia="ar-SA"/>
        </w:rPr>
        <w:t>p</w:t>
      </w:r>
      <w:r w:rsidRPr="00994181">
        <w:rPr>
          <w:rFonts w:cs="Arial"/>
          <w:lang w:eastAsia="ar-SA"/>
        </w:rPr>
        <w:t xml:space="preserve">roponować realizację badań lub analiz dotyczących </w:t>
      </w:r>
      <w:r w:rsidR="00EA243D">
        <w:rPr>
          <w:rFonts w:cs="Arial"/>
          <w:lang w:eastAsia="ar-SA"/>
        </w:rPr>
        <w:t>zasad równościowych</w:t>
      </w:r>
      <w:r w:rsidR="0057187F" w:rsidRPr="0057187F">
        <w:rPr>
          <w:rFonts w:cs="Arial"/>
          <w:lang w:eastAsia="ar-SA"/>
        </w:rPr>
        <w:t>;</w:t>
      </w:r>
    </w:p>
    <w:p w14:paraId="3B7CB035" w14:textId="77777777" w:rsidR="0034588C" w:rsidRDefault="0057187F" w:rsidP="0057187F">
      <w:pPr>
        <w:numPr>
          <w:ilvl w:val="0"/>
          <w:numId w:val="16"/>
        </w:numPr>
        <w:spacing w:before="120" w:after="120" w:line="360" w:lineRule="auto"/>
        <w:rPr>
          <w:rFonts w:cs="Arial"/>
          <w:lang w:eastAsia="ar-SA"/>
        </w:rPr>
      </w:pPr>
      <w:r w:rsidRPr="0057187F">
        <w:rPr>
          <w:rFonts w:cs="Arial"/>
          <w:lang w:eastAsia="ar-SA"/>
        </w:rPr>
        <w:t>zwracać szczególną uwagę na komunikaty na stronach internetowych, publikacje</w:t>
      </w:r>
      <w:r w:rsidR="0034588C">
        <w:rPr>
          <w:rFonts w:cs="Arial"/>
          <w:lang w:eastAsia="ar-SA"/>
        </w:rPr>
        <w:t>, materiały promocyjne</w:t>
      </w:r>
      <w:r w:rsidRPr="0057187F">
        <w:rPr>
          <w:rFonts w:cs="Arial"/>
          <w:lang w:eastAsia="ar-SA"/>
        </w:rPr>
        <w:t xml:space="preserve"> i dokumenty tworzone w ramach</w:t>
      </w:r>
      <w:r w:rsidR="00DF14D2">
        <w:rPr>
          <w:rFonts w:cs="Arial"/>
          <w:lang w:eastAsia="ar-SA"/>
        </w:rPr>
        <w:t xml:space="preserve"> swojej</w:t>
      </w:r>
      <w:r w:rsidRPr="0057187F">
        <w:rPr>
          <w:rFonts w:cs="Arial"/>
          <w:lang w:eastAsia="ar-SA"/>
        </w:rPr>
        <w:t xml:space="preserve"> instytucji (np. czy nie propagują stereotypowych lub dyskryminujących przekazów)</w:t>
      </w:r>
      <w:r w:rsidR="0034588C">
        <w:rPr>
          <w:rFonts w:cs="Arial"/>
          <w:lang w:eastAsia="ar-SA"/>
        </w:rPr>
        <w:t>:</w:t>
      </w:r>
    </w:p>
    <w:p w14:paraId="2243DFAE" w14:textId="0DA93D23" w:rsidR="0057187F" w:rsidRPr="0057187F" w:rsidRDefault="00EA243D" w:rsidP="0057187F">
      <w:pPr>
        <w:numPr>
          <w:ilvl w:val="0"/>
          <w:numId w:val="16"/>
        </w:numPr>
        <w:spacing w:before="120" w:after="120" w:line="360" w:lineRule="auto"/>
        <w:rPr>
          <w:rFonts w:cs="Arial"/>
          <w:lang w:eastAsia="ar-SA"/>
        </w:rPr>
      </w:pPr>
      <w:r>
        <w:rPr>
          <w:rFonts w:cs="Arial"/>
          <w:lang w:eastAsia="ar-SA"/>
        </w:rPr>
        <w:t xml:space="preserve">upowszechniać i </w:t>
      </w:r>
      <w:r w:rsidR="0034588C">
        <w:rPr>
          <w:rFonts w:cs="Arial"/>
          <w:lang w:eastAsia="ar-SA"/>
        </w:rPr>
        <w:t>wymieniać się dobrymi praktykami w zakresie zasad równościowych</w:t>
      </w:r>
      <w:r>
        <w:rPr>
          <w:rFonts w:cs="Arial"/>
          <w:lang w:eastAsia="ar-SA"/>
        </w:rPr>
        <w:t>;</w:t>
      </w:r>
    </w:p>
    <w:p w14:paraId="20E8D8F9" w14:textId="5B74B2B9" w:rsidR="0057187F" w:rsidRPr="0057187F" w:rsidRDefault="0057187F" w:rsidP="0057187F">
      <w:pPr>
        <w:numPr>
          <w:ilvl w:val="0"/>
          <w:numId w:val="15"/>
        </w:numPr>
        <w:spacing w:before="120" w:after="120" w:line="360" w:lineRule="auto"/>
        <w:ind w:left="1068"/>
        <w:rPr>
          <w:rFonts w:cs="Arial"/>
          <w:lang w:eastAsia="ar-SA"/>
        </w:rPr>
      </w:pPr>
      <w:r w:rsidRPr="0057187F">
        <w:rPr>
          <w:rFonts w:cs="Arial"/>
          <w:lang w:eastAsia="ar-SA"/>
        </w:rPr>
        <w:t>zapewnia ciągłość zadań Koordynatora/Koordynatorki w przypadku zmiany osoby pełniącej tę funkcję;</w:t>
      </w:r>
    </w:p>
    <w:p w14:paraId="1FD89C3B" w14:textId="26F95793" w:rsidR="0057187F" w:rsidRPr="0057187F" w:rsidRDefault="0057187F" w:rsidP="0057187F">
      <w:pPr>
        <w:numPr>
          <w:ilvl w:val="0"/>
          <w:numId w:val="15"/>
        </w:numPr>
        <w:spacing w:before="120" w:after="120" w:line="360" w:lineRule="auto"/>
        <w:ind w:left="1068"/>
        <w:rPr>
          <w:rFonts w:cs="Arial"/>
          <w:lang w:eastAsia="ar-SA"/>
        </w:rPr>
      </w:pPr>
      <w:r w:rsidRPr="0057187F">
        <w:rPr>
          <w:rFonts w:cs="Arial"/>
          <w:lang w:eastAsia="ar-SA"/>
        </w:rPr>
        <w:t>w zależności od potrzeb</w:t>
      </w:r>
      <w:r w:rsidR="007F5555">
        <w:rPr>
          <w:rFonts w:cs="Arial"/>
          <w:lang w:eastAsia="ar-SA"/>
        </w:rPr>
        <w:t xml:space="preserve"> -</w:t>
      </w:r>
      <w:r w:rsidRPr="0057187F">
        <w:rPr>
          <w:rFonts w:cs="Arial"/>
          <w:lang w:eastAsia="ar-SA"/>
        </w:rPr>
        <w:t xml:space="preserve"> powołuje grupę roboczą do spraw realizacji zasad równościowych w danym programie (np. jako grupa robocza komitetu monitorującego), do której zadań należy m.in.:</w:t>
      </w:r>
    </w:p>
    <w:p w14:paraId="53EE39C1" w14:textId="74A9F916" w:rsidR="0057187F" w:rsidRPr="0057187F" w:rsidRDefault="0057187F" w:rsidP="0057187F">
      <w:pPr>
        <w:numPr>
          <w:ilvl w:val="0"/>
          <w:numId w:val="17"/>
        </w:numPr>
        <w:suppressAutoHyphens/>
        <w:spacing w:before="120" w:after="120" w:line="360" w:lineRule="auto"/>
        <w:rPr>
          <w:rFonts w:cs="Arial"/>
          <w:lang w:eastAsia="ar-SA"/>
        </w:rPr>
      </w:pPr>
      <w:r w:rsidRPr="0057187F">
        <w:rPr>
          <w:rFonts w:cs="Arial"/>
          <w:lang w:eastAsia="ar-SA"/>
        </w:rPr>
        <w:lastRenderedPageBreak/>
        <w:t>inicjowanie działań promujących równość kobiet i mężczyzn oraz równość szans i niedyskryminacji, w tym dostępność dla osób z niepełnosprawnościami w ramach polityki spójności;</w:t>
      </w:r>
    </w:p>
    <w:p w14:paraId="752A9566" w14:textId="77777777" w:rsidR="0057187F" w:rsidRPr="0057187F" w:rsidRDefault="0057187F" w:rsidP="0057187F">
      <w:pPr>
        <w:numPr>
          <w:ilvl w:val="0"/>
          <w:numId w:val="17"/>
        </w:numPr>
        <w:suppressAutoHyphens/>
        <w:spacing w:before="120" w:after="120" w:line="360" w:lineRule="auto"/>
        <w:rPr>
          <w:rFonts w:cs="Arial"/>
          <w:lang w:eastAsia="ar-SA"/>
        </w:rPr>
      </w:pPr>
      <w:r w:rsidRPr="0057187F">
        <w:rPr>
          <w:rFonts w:cs="Arial"/>
          <w:lang w:eastAsia="ar-SA"/>
        </w:rPr>
        <w:t>wymiana doświadczeń i informacji z zakresu wdrażania zasad;</w:t>
      </w:r>
    </w:p>
    <w:p w14:paraId="7DB266A8" w14:textId="77777777" w:rsidR="0057187F" w:rsidRPr="0057187F" w:rsidRDefault="0057187F" w:rsidP="0057187F">
      <w:pPr>
        <w:numPr>
          <w:ilvl w:val="0"/>
          <w:numId w:val="17"/>
        </w:numPr>
        <w:suppressAutoHyphens/>
        <w:spacing w:before="120" w:after="120" w:line="360" w:lineRule="auto"/>
        <w:rPr>
          <w:rFonts w:cs="Arial"/>
          <w:lang w:eastAsia="ar-SA"/>
        </w:rPr>
      </w:pPr>
      <w:r w:rsidRPr="0057187F">
        <w:rPr>
          <w:rFonts w:cs="Arial"/>
          <w:lang w:eastAsia="ar-SA"/>
        </w:rPr>
        <w:t>wskazywanie szczegółowych obszarów w zakresie zasad, które należy zbadać w przypadku realizowanych ewaluacji;</w:t>
      </w:r>
    </w:p>
    <w:p w14:paraId="40193DEE" w14:textId="49E05080" w:rsidR="0057187F" w:rsidRPr="0057187F" w:rsidRDefault="0057187F" w:rsidP="0057187F">
      <w:pPr>
        <w:numPr>
          <w:ilvl w:val="0"/>
          <w:numId w:val="17"/>
        </w:numPr>
        <w:suppressAutoHyphens/>
        <w:spacing w:before="120" w:after="120" w:line="360" w:lineRule="auto"/>
        <w:rPr>
          <w:rFonts w:cs="Arial"/>
          <w:lang w:eastAsia="ar-SA"/>
        </w:rPr>
      </w:pPr>
      <w:r w:rsidRPr="0057187F">
        <w:rPr>
          <w:rFonts w:cs="Arial"/>
          <w:lang w:eastAsia="ar-SA"/>
        </w:rPr>
        <w:t>wypracowywanie rozwiązań w stosowaniu zasad</w:t>
      </w:r>
      <w:r w:rsidR="006631B3">
        <w:rPr>
          <w:rFonts w:cs="Arial"/>
          <w:lang w:eastAsia="ar-SA"/>
        </w:rPr>
        <w:t xml:space="preserve"> równościowych </w:t>
      </w:r>
      <w:r w:rsidR="00590863">
        <w:rPr>
          <w:rFonts w:cs="Arial"/>
          <w:lang w:eastAsia="ar-SA"/>
        </w:rPr>
        <w:br/>
      </w:r>
      <w:r w:rsidRPr="0057187F">
        <w:rPr>
          <w:rFonts w:cs="Arial"/>
          <w:lang w:eastAsia="ar-SA"/>
        </w:rPr>
        <w:t>w poszczególnych typach wsparcia;</w:t>
      </w:r>
    </w:p>
    <w:p w14:paraId="2369B9E4" w14:textId="77777777" w:rsidR="0057187F" w:rsidRPr="0057187F" w:rsidRDefault="0057187F" w:rsidP="0057187F">
      <w:pPr>
        <w:numPr>
          <w:ilvl w:val="0"/>
          <w:numId w:val="15"/>
        </w:numPr>
        <w:suppressAutoHyphens/>
        <w:spacing w:before="120" w:after="120" w:line="360" w:lineRule="auto"/>
        <w:ind w:left="1068"/>
        <w:rPr>
          <w:rFonts w:cs="Arial"/>
          <w:lang w:eastAsia="ar-SA"/>
        </w:rPr>
      </w:pPr>
      <w:r w:rsidRPr="0057187F">
        <w:rPr>
          <w:rFonts w:cs="Arial"/>
          <w:lang w:eastAsia="ar-SA"/>
        </w:rPr>
        <w:t>tworzy warunki do dyskusji i wymiany doświadczeń – np. poprzez organizowanie spotkań, konferencji, forów internetowych czy platform dla beneficjentów i instytucji zaangażowanych w realizację zasad równościowych;</w:t>
      </w:r>
    </w:p>
    <w:p w14:paraId="2A0D1EEB" w14:textId="77777777" w:rsidR="0057187F" w:rsidRPr="0057187F" w:rsidRDefault="0057187F" w:rsidP="0057187F">
      <w:pPr>
        <w:numPr>
          <w:ilvl w:val="0"/>
          <w:numId w:val="15"/>
        </w:numPr>
        <w:suppressAutoHyphens/>
        <w:spacing w:before="120" w:after="120" w:line="360" w:lineRule="auto"/>
        <w:ind w:left="1068"/>
        <w:rPr>
          <w:rFonts w:cs="Arial"/>
          <w:lang w:eastAsia="ar-SA"/>
        </w:rPr>
      </w:pPr>
      <w:r w:rsidRPr="0057187F">
        <w:rPr>
          <w:rFonts w:cs="Arial"/>
          <w:lang w:eastAsia="ar-SA"/>
        </w:rPr>
        <w:t>uwzględnia kwestie równości w materiałach informacyjno-promocyjnych oraz używa w tym celu niestereotypowych i zróżnicowanych form przekazu;</w:t>
      </w:r>
    </w:p>
    <w:p w14:paraId="5B7822BF" w14:textId="77777777" w:rsidR="0057187F" w:rsidRPr="0057187F" w:rsidRDefault="0057187F" w:rsidP="0057187F">
      <w:pPr>
        <w:numPr>
          <w:ilvl w:val="0"/>
          <w:numId w:val="15"/>
        </w:numPr>
        <w:suppressAutoHyphens/>
        <w:spacing w:before="120" w:after="120" w:line="360" w:lineRule="auto"/>
        <w:ind w:left="1068"/>
        <w:rPr>
          <w:rFonts w:cs="Arial"/>
          <w:lang w:eastAsia="ar-SA"/>
        </w:rPr>
      </w:pPr>
      <w:r w:rsidRPr="0057187F">
        <w:rPr>
          <w:rFonts w:eastAsia="Calibri" w:cs="Arial"/>
          <w:lang w:eastAsia="ar-SA"/>
        </w:rPr>
        <w:t>unika jakiejkolwiek dyskryminacji oraz treści ośmieszających bądź utrwalających stereotypy;</w:t>
      </w:r>
    </w:p>
    <w:p w14:paraId="49FC4028" w14:textId="53C5847A" w:rsidR="001D2311" w:rsidRPr="0057187F" w:rsidRDefault="0057187F" w:rsidP="0057187F">
      <w:pPr>
        <w:numPr>
          <w:ilvl w:val="0"/>
          <w:numId w:val="15"/>
        </w:numPr>
        <w:suppressAutoHyphens/>
        <w:spacing w:before="120" w:after="120" w:line="360" w:lineRule="auto"/>
        <w:ind w:left="1068"/>
        <w:rPr>
          <w:rFonts w:cs="Arial"/>
          <w:lang w:eastAsia="ar-SA"/>
        </w:rPr>
      </w:pPr>
      <w:r w:rsidRPr="0057187F">
        <w:rPr>
          <w:rFonts w:cs="Arial"/>
          <w:lang w:eastAsia="ar-SA"/>
        </w:rPr>
        <w:t>identyfikuje i promuje przykłady dobrych praktyk z zakresu wdrażania zasad równościowych.</w:t>
      </w:r>
    </w:p>
    <w:p w14:paraId="4AB55477" w14:textId="6B200D8F" w:rsidR="0057187F" w:rsidRPr="0057187F" w:rsidRDefault="0057187F" w:rsidP="0057187F">
      <w:pPr>
        <w:pStyle w:val="Nagwek2"/>
        <w:rPr>
          <w:rFonts w:cs="Arial"/>
        </w:rPr>
      </w:pPr>
      <w:bookmarkStart w:id="54" w:name="_Toc108787458"/>
      <w:r w:rsidRPr="0057187F">
        <w:rPr>
          <w:rFonts w:cs="Arial"/>
        </w:rPr>
        <w:t>Podrozdział 5.2. Monitorowanie, ewaluacja, promocja</w:t>
      </w:r>
      <w:bookmarkEnd w:id="54"/>
    </w:p>
    <w:p w14:paraId="74EFC445" w14:textId="77777777" w:rsidR="006631B3" w:rsidRPr="00DA067E" w:rsidRDefault="0057187F" w:rsidP="0057187F">
      <w:pPr>
        <w:numPr>
          <w:ilvl w:val="0"/>
          <w:numId w:val="19"/>
        </w:numPr>
        <w:suppressAutoHyphens/>
        <w:autoSpaceDE w:val="0"/>
        <w:spacing w:before="120" w:after="120" w:line="360" w:lineRule="auto"/>
        <w:rPr>
          <w:rFonts w:cs="Arial"/>
          <w:lang w:eastAsia="ar-SA"/>
        </w:rPr>
      </w:pPr>
      <w:r w:rsidRPr="0057187F">
        <w:rPr>
          <w:rFonts w:eastAsia="Calibri" w:cs="Arial"/>
          <w:lang w:eastAsia="en-US"/>
        </w:rPr>
        <w:t xml:space="preserve">Narzędziem do monitorowania realizacji obu zasad horyzontalnych na poziomie projektu jest wniosek o płatność. </w:t>
      </w:r>
    </w:p>
    <w:p w14:paraId="06DD8C45" w14:textId="3A3B667F" w:rsidR="0057187F" w:rsidRPr="0057187F" w:rsidRDefault="0057187F" w:rsidP="0057187F">
      <w:pPr>
        <w:numPr>
          <w:ilvl w:val="0"/>
          <w:numId w:val="19"/>
        </w:numPr>
        <w:suppressAutoHyphens/>
        <w:autoSpaceDE w:val="0"/>
        <w:spacing w:before="120" w:after="120" w:line="360" w:lineRule="auto"/>
        <w:rPr>
          <w:rFonts w:cs="Arial"/>
          <w:lang w:eastAsia="ar-SA"/>
        </w:rPr>
      </w:pPr>
      <w:bookmarkStart w:id="55" w:name="_Hlk118817212"/>
      <w:r w:rsidRPr="0057187F">
        <w:rPr>
          <w:rFonts w:eastAsia="Calibri" w:cs="Arial"/>
          <w:lang w:eastAsia="en-US"/>
        </w:rPr>
        <w:t xml:space="preserve">IZ lub inna, właściwa instytucja zobowiązuje beneficjenta do wykazania i opisania we wniosku o płatność, które z działań zaplanowanych we wniosku </w:t>
      </w:r>
      <w:r w:rsidR="00590863">
        <w:rPr>
          <w:rFonts w:eastAsia="Calibri" w:cs="Arial"/>
          <w:lang w:eastAsia="en-US"/>
        </w:rPr>
        <w:br/>
      </w:r>
      <w:r w:rsidRPr="0057187F">
        <w:rPr>
          <w:rFonts w:eastAsia="Calibri" w:cs="Arial"/>
          <w:lang w:eastAsia="en-US"/>
        </w:rPr>
        <w:t xml:space="preserve">o dofinansowanie projektu zostały już zrealizowane oraz w jaki sposób ich realizacja wpłynęła na sytuację osób z niepełnosprawnościami, a także na równość kobiet i mężczyzn lub innych grup wskazanych we wniosku </w:t>
      </w:r>
      <w:r w:rsidR="00590863">
        <w:rPr>
          <w:rFonts w:eastAsia="Calibri" w:cs="Arial"/>
          <w:lang w:eastAsia="en-US"/>
        </w:rPr>
        <w:br/>
      </w:r>
      <w:r w:rsidRPr="0057187F">
        <w:rPr>
          <w:rFonts w:eastAsia="Calibri" w:cs="Arial"/>
          <w:lang w:eastAsia="en-US"/>
        </w:rPr>
        <w:t xml:space="preserve">o dofinansowanie projektu. </w:t>
      </w:r>
      <w:bookmarkEnd w:id="55"/>
      <w:r w:rsidRPr="0057187F">
        <w:rPr>
          <w:rFonts w:eastAsia="Calibri" w:cs="Arial"/>
          <w:lang w:eastAsia="en-US"/>
        </w:rPr>
        <w:t xml:space="preserve">Obowiązek opisania tych działań powstaje tylko wówczas, gdy opisywany we wniosku o </w:t>
      </w:r>
      <w:r w:rsidR="00BE7CCA">
        <w:rPr>
          <w:rFonts w:eastAsia="Calibri" w:cs="Arial"/>
          <w:lang w:eastAsia="en-US"/>
        </w:rPr>
        <w:t>płatność</w:t>
      </w:r>
      <w:r w:rsidR="00BE7CCA" w:rsidRPr="0057187F">
        <w:rPr>
          <w:rFonts w:eastAsia="Calibri" w:cs="Arial"/>
          <w:lang w:eastAsia="en-US"/>
        </w:rPr>
        <w:t xml:space="preserve"> </w:t>
      </w:r>
      <w:r w:rsidRPr="0057187F">
        <w:rPr>
          <w:rFonts w:eastAsia="Calibri" w:cs="Arial"/>
          <w:lang w:eastAsia="en-US"/>
        </w:rPr>
        <w:t xml:space="preserve">projektu postęp rzeczowy </w:t>
      </w:r>
      <w:r w:rsidR="00590863">
        <w:rPr>
          <w:rFonts w:eastAsia="Calibri" w:cs="Arial"/>
          <w:lang w:eastAsia="en-US"/>
        </w:rPr>
        <w:br/>
      </w:r>
      <w:r w:rsidRPr="0057187F">
        <w:rPr>
          <w:rFonts w:eastAsia="Calibri" w:cs="Arial"/>
          <w:lang w:eastAsia="en-US"/>
        </w:rPr>
        <w:t xml:space="preserve">i rozliczane w nim wydatki dotyczą działań, przy realizacji których powinny być </w:t>
      </w:r>
      <w:r w:rsidRPr="0057187F">
        <w:rPr>
          <w:rFonts w:eastAsia="Calibri" w:cs="Arial"/>
          <w:lang w:eastAsia="en-US"/>
        </w:rPr>
        <w:lastRenderedPageBreak/>
        <w:t>stosowane ww. zasady – zgodnie z wnioskiem o dofinansowanie projektu</w:t>
      </w:r>
      <w:r w:rsidRPr="0057187F">
        <w:rPr>
          <w:rFonts w:eastAsia="Calibri" w:cs="Arial"/>
          <w:vertAlign w:val="superscript"/>
          <w:lang w:eastAsia="en-US"/>
        </w:rPr>
        <w:footnoteReference w:id="40"/>
      </w:r>
      <w:r w:rsidRPr="0057187F">
        <w:rPr>
          <w:rFonts w:eastAsia="Calibri" w:cs="Arial"/>
          <w:lang w:eastAsia="en-US"/>
        </w:rPr>
        <w:t>.</w:t>
      </w:r>
      <w:r w:rsidR="0012534B">
        <w:rPr>
          <w:rFonts w:eastAsia="Calibri" w:cs="Arial"/>
          <w:lang w:eastAsia="en-US"/>
        </w:rPr>
        <w:t xml:space="preserve"> CST 2021 przewiduje oddzielne pole do opisu ww. informacji. </w:t>
      </w:r>
    </w:p>
    <w:p w14:paraId="4722CA78" w14:textId="13D7F7D9" w:rsidR="0057187F" w:rsidRPr="0057187F" w:rsidRDefault="0057187F" w:rsidP="0057187F">
      <w:pPr>
        <w:numPr>
          <w:ilvl w:val="0"/>
          <w:numId w:val="19"/>
        </w:numPr>
        <w:suppressAutoHyphens/>
        <w:autoSpaceDE w:val="0"/>
        <w:spacing w:before="120" w:after="120" w:line="360" w:lineRule="auto"/>
        <w:rPr>
          <w:rFonts w:cs="Arial"/>
          <w:lang w:eastAsia="ar-SA"/>
        </w:rPr>
      </w:pPr>
      <w:r w:rsidRPr="0057187F">
        <w:rPr>
          <w:rFonts w:eastAsia="Calibri" w:cs="Arial"/>
          <w:lang w:eastAsia="en-US"/>
        </w:rPr>
        <w:t xml:space="preserve">W celu weryfikacji realizacji zasady równości szans i niedyskryminacji oraz zasady równości kobiet i mężczyzn, w liście sprawdzającej do wniosku </w:t>
      </w:r>
      <w:r w:rsidR="00590863">
        <w:rPr>
          <w:rFonts w:eastAsia="Calibri" w:cs="Arial"/>
          <w:lang w:eastAsia="en-US"/>
        </w:rPr>
        <w:br/>
      </w:r>
      <w:r w:rsidRPr="0057187F">
        <w:rPr>
          <w:rFonts w:eastAsia="Calibri" w:cs="Arial"/>
          <w:lang w:eastAsia="en-US"/>
        </w:rPr>
        <w:t>o płatność (lub analogicznym dokumencie) powinno znaleźć się minimum jedno pytanie dla każdej z ww. zasad, weryfikujące to zagadnienie.</w:t>
      </w:r>
    </w:p>
    <w:p w14:paraId="1CBE34E3" w14:textId="37F5B810" w:rsidR="0057187F" w:rsidRPr="0057187F" w:rsidRDefault="0057187F" w:rsidP="0057187F">
      <w:pPr>
        <w:numPr>
          <w:ilvl w:val="0"/>
          <w:numId w:val="19"/>
        </w:numPr>
        <w:suppressAutoHyphens/>
        <w:autoSpaceDE w:val="0"/>
        <w:spacing w:before="120" w:after="120" w:line="360" w:lineRule="auto"/>
        <w:rPr>
          <w:rFonts w:cs="Arial"/>
          <w:lang w:eastAsia="ar-SA"/>
        </w:rPr>
      </w:pPr>
      <w:r w:rsidRPr="0057187F">
        <w:rPr>
          <w:rFonts w:eastAsia="Calibri" w:cs="Arial"/>
          <w:lang w:eastAsia="en-US"/>
        </w:rPr>
        <w:t xml:space="preserve">Przynajmniej </w:t>
      </w:r>
      <w:r w:rsidR="001A5602">
        <w:rPr>
          <w:rFonts w:eastAsia="Calibri" w:cs="Arial"/>
          <w:lang w:eastAsia="en-US"/>
        </w:rPr>
        <w:t>raz</w:t>
      </w:r>
      <w:r w:rsidR="001A5602" w:rsidRPr="0057187F">
        <w:rPr>
          <w:rFonts w:eastAsia="Calibri" w:cs="Arial"/>
          <w:lang w:eastAsia="en-US"/>
        </w:rPr>
        <w:t xml:space="preserve"> </w:t>
      </w:r>
      <w:r w:rsidRPr="0057187F">
        <w:rPr>
          <w:rFonts w:eastAsia="Calibri" w:cs="Arial"/>
          <w:lang w:eastAsia="en-US"/>
        </w:rPr>
        <w:t xml:space="preserve">w okresie </w:t>
      </w:r>
      <w:r w:rsidR="00F54635">
        <w:rPr>
          <w:rFonts w:eastAsia="Calibri" w:cs="Arial"/>
          <w:lang w:eastAsia="en-US"/>
        </w:rPr>
        <w:t>realizacji programu</w:t>
      </w:r>
      <w:r w:rsidR="00F54635" w:rsidRPr="0057187F">
        <w:rPr>
          <w:rFonts w:eastAsia="Calibri" w:cs="Arial"/>
          <w:lang w:eastAsia="en-US"/>
        </w:rPr>
        <w:t xml:space="preserve"> </w:t>
      </w:r>
      <w:r w:rsidRPr="0057187F">
        <w:rPr>
          <w:rFonts w:cs="Arial"/>
          <w:lang w:eastAsia="ar-SA"/>
        </w:rPr>
        <w:t xml:space="preserve">IZ przeprowadza analizę sposobu wdrażania programu w zakresie </w:t>
      </w:r>
      <w:r w:rsidR="003D0637">
        <w:rPr>
          <w:rFonts w:cs="Arial"/>
          <w:lang w:eastAsia="ar-SA"/>
        </w:rPr>
        <w:t>zgodności z</w:t>
      </w:r>
      <w:r w:rsidR="000915C6">
        <w:rPr>
          <w:rFonts w:cs="Arial"/>
          <w:lang w:eastAsia="ar-SA"/>
        </w:rPr>
        <w:t xml:space="preserve"> zasadami równościowymi</w:t>
      </w:r>
      <w:r w:rsidRPr="0057187F">
        <w:rPr>
          <w:rFonts w:cs="Arial"/>
          <w:lang w:eastAsia="ar-SA"/>
        </w:rPr>
        <w:t xml:space="preserve">. Analiza ma na celu </w:t>
      </w:r>
      <w:r w:rsidR="00F54635">
        <w:rPr>
          <w:rFonts w:cs="Arial"/>
          <w:lang w:eastAsia="ar-SA"/>
        </w:rPr>
        <w:t xml:space="preserve">dostosowanie lub </w:t>
      </w:r>
      <w:r w:rsidRPr="0057187F">
        <w:rPr>
          <w:rFonts w:cs="Arial"/>
          <w:lang w:eastAsia="ar-SA"/>
        </w:rPr>
        <w:t xml:space="preserve">ewentualną zmianę prowadzonych działań i lepsze dopasowanie wsparcia do faktycznych potrzeb różnych grup docelowych. Analiza taka powinna opierać się </w:t>
      </w:r>
      <w:r w:rsidR="000915C6">
        <w:rPr>
          <w:rFonts w:cs="Arial"/>
          <w:lang w:eastAsia="ar-SA"/>
        </w:rPr>
        <w:t xml:space="preserve">m.in. o </w:t>
      </w:r>
      <w:r w:rsidRPr="0057187F">
        <w:rPr>
          <w:rFonts w:cs="Arial"/>
          <w:lang w:eastAsia="ar-SA"/>
        </w:rPr>
        <w:t xml:space="preserve">wyniki </w:t>
      </w:r>
      <w:r w:rsidR="000915C6">
        <w:rPr>
          <w:rFonts w:cs="Arial"/>
          <w:lang w:eastAsia="ar-SA"/>
        </w:rPr>
        <w:t xml:space="preserve">przeprowadzonego </w:t>
      </w:r>
      <w:r w:rsidRPr="0057187F">
        <w:rPr>
          <w:rFonts w:cs="Arial"/>
          <w:lang w:eastAsia="ar-SA"/>
        </w:rPr>
        <w:t>monitoringu</w:t>
      </w:r>
      <w:r w:rsidR="00F54635">
        <w:rPr>
          <w:rFonts w:cs="Arial"/>
          <w:lang w:eastAsia="ar-SA"/>
        </w:rPr>
        <w:t xml:space="preserve">, dostępnych </w:t>
      </w:r>
      <w:r w:rsidR="000915C6">
        <w:rPr>
          <w:rFonts w:cs="Arial"/>
          <w:lang w:eastAsia="ar-SA"/>
        </w:rPr>
        <w:t xml:space="preserve">badań, opracowań, </w:t>
      </w:r>
      <w:r w:rsidR="00F54635">
        <w:rPr>
          <w:rFonts w:cs="Arial"/>
          <w:lang w:eastAsia="ar-SA"/>
        </w:rPr>
        <w:t>analiz</w:t>
      </w:r>
      <w:r w:rsidRPr="0057187F">
        <w:rPr>
          <w:rFonts w:cs="Arial"/>
          <w:lang w:eastAsia="ar-SA"/>
        </w:rPr>
        <w:t xml:space="preserve"> </w:t>
      </w:r>
      <w:r w:rsidR="000915C6">
        <w:rPr>
          <w:rFonts w:cs="Arial"/>
          <w:lang w:eastAsia="ar-SA"/>
        </w:rPr>
        <w:t>lub</w:t>
      </w:r>
      <w:r w:rsidRPr="0057187F">
        <w:rPr>
          <w:rFonts w:cs="Arial"/>
          <w:lang w:eastAsia="ar-SA"/>
        </w:rPr>
        <w:t xml:space="preserve"> ewaluacji. Wyniki tej analizy są prezentowane na forum komitetu monitorującego.</w:t>
      </w:r>
    </w:p>
    <w:p w14:paraId="47FFB365" w14:textId="5F4BEDE9" w:rsidR="0057187F" w:rsidRPr="0057187F" w:rsidRDefault="0057187F" w:rsidP="0057187F">
      <w:pPr>
        <w:numPr>
          <w:ilvl w:val="0"/>
          <w:numId w:val="19"/>
        </w:numPr>
        <w:suppressAutoHyphens/>
        <w:autoSpaceDE w:val="0"/>
        <w:spacing w:before="120" w:after="120" w:line="360" w:lineRule="auto"/>
        <w:rPr>
          <w:rFonts w:cs="Arial"/>
          <w:lang w:eastAsia="ar-SA"/>
        </w:rPr>
      </w:pPr>
      <w:r w:rsidRPr="0057187F">
        <w:rPr>
          <w:rFonts w:cs="Arial"/>
          <w:lang w:eastAsia="ar-SA"/>
        </w:rPr>
        <w:t xml:space="preserve">Zgodnie z załącznikiem nr I do rozporządzenia EFS+, wszystkie wskaźniki wspólne dotyczące osób powinny być monitorowane z podziałem na płeć. Podejście to jest rekomendowane również w stosunku do monitorowania wskaźników specyficznych dla programu i wskaźników kluczowych zawartych na Liście Wskaźników Kluczowych, w tym także w przypadku EFRR, FS </w:t>
      </w:r>
      <w:r w:rsidR="00590863">
        <w:rPr>
          <w:rFonts w:cs="Arial"/>
          <w:lang w:eastAsia="ar-SA"/>
        </w:rPr>
        <w:br/>
      </w:r>
      <w:r w:rsidRPr="0057187F">
        <w:rPr>
          <w:rFonts w:cs="Arial"/>
          <w:lang w:eastAsia="ar-SA"/>
        </w:rPr>
        <w:t>i FST</w:t>
      </w:r>
      <w:r w:rsidR="000915C6">
        <w:rPr>
          <w:rFonts w:cs="Arial"/>
          <w:lang w:eastAsia="ar-SA"/>
        </w:rPr>
        <w:t xml:space="preserve">. </w:t>
      </w:r>
    </w:p>
    <w:p w14:paraId="3791F5BF" w14:textId="7EF2F8AE" w:rsidR="0057187F" w:rsidRPr="0057187F" w:rsidRDefault="0057187F" w:rsidP="0057187F">
      <w:pPr>
        <w:numPr>
          <w:ilvl w:val="0"/>
          <w:numId w:val="19"/>
        </w:numPr>
        <w:suppressAutoHyphens/>
        <w:autoSpaceDE w:val="0"/>
        <w:spacing w:before="120" w:after="120" w:line="360" w:lineRule="auto"/>
        <w:rPr>
          <w:rFonts w:cs="Arial"/>
          <w:lang w:eastAsia="ar-SA"/>
        </w:rPr>
      </w:pPr>
      <w:r w:rsidRPr="0057187F">
        <w:rPr>
          <w:rFonts w:cs="Arial"/>
          <w:lang w:eastAsia="ar-SA"/>
        </w:rPr>
        <w:lastRenderedPageBreak/>
        <w:t>IZ zapewnia, że w skład komitetów monitorujących i innych gremiów decyzyjnych zostaną włączeni przedstawiciele środowisk działających na rzecz równości kobiet i mężczyzn</w:t>
      </w:r>
      <w:r w:rsidRPr="0057187F">
        <w:rPr>
          <w:rStyle w:val="Odwoanieprzypisudolnego"/>
          <w:rFonts w:cs="Arial"/>
          <w:lang w:eastAsia="ar-SA"/>
        </w:rPr>
        <w:footnoteReference w:id="41"/>
      </w:r>
      <w:r w:rsidRPr="0057187F">
        <w:rPr>
          <w:rFonts w:cs="Arial"/>
          <w:lang w:eastAsia="ar-SA"/>
        </w:rPr>
        <w:t xml:space="preserve"> oraz równości szans i niedyskryminacji, </w:t>
      </w:r>
      <w:r w:rsidR="00590863">
        <w:rPr>
          <w:rFonts w:cs="Arial"/>
          <w:lang w:eastAsia="ar-SA"/>
        </w:rPr>
        <w:br/>
      </w:r>
      <w:r w:rsidRPr="0057187F">
        <w:rPr>
          <w:rFonts w:cs="Arial"/>
          <w:lang w:eastAsia="ar-SA"/>
        </w:rPr>
        <w:t>w tym dostępności dla osób z niepełnosprawnościami</w:t>
      </w:r>
      <w:r w:rsidR="001A5602">
        <w:rPr>
          <w:rFonts w:cs="Arial"/>
          <w:lang w:eastAsia="ar-SA"/>
        </w:rPr>
        <w:t xml:space="preserve"> i praw podstawowych.</w:t>
      </w:r>
    </w:p>
    <w:p w14:paraId="758D61DF" w14:textId="41CFCDF3" w:rsidR="0057187F" w:rsidRPr="0057187F" w:rsidRDefault="0057187F" w:rsidP="0057187F">
      <w:pPr>
        <w:numPr>
          <w:ilvl w:val="0"/>
          <w:numId w:val="19"/>
        </w:numPr>
        <w:suppressAutoHyphens/>
        <w:autoSpaceDE w:val="0"/>
        <w:spacing w:before="120" w:after="120" w:line="360" w:lineRule="auto"/>
        <w:rPr>
          <w:rFonts w:cs="Arial"/>
          <w:lang w:eastAsia="ar-SA"/>
        </w:rPr>
      </w:pPr>
      <w:r w:rsidRPr="0057187F">
        <w:rPr>
          <w:rFonts w:cs="Arial"/>
          <w:lang w:eastAsia="ar-SA"/>
        </w:rPr>
        <w:t>IZ lub inna, właściwa instytucja zapewnia</w:t>
      </w:r>
      <w:r w:rsidR="000915C6">
        <w:rPr>
          <w:rFonts w:cs="Arial"/>
          <w:lang w:eastAsia="ar-SA"/>
        </w:rPr>
        <w:t xml:space="preserve">, </w:t>
      </w:r>
      <w:r w:rsidRPr="0057187F">
        <w:rPr>
          <w:rFonts w:cs="Arial"/>
          <w:lang w:eastAsia="ar-SA"/>
        </w:rPr>
        <w:t>że w badaniach ewaluacyjnych</w:t>
      </w:r>
      <w:r w:rsidRPr="0057187F">
        <w:rPr>
          <w:rFonts w:cs="Arial"/>
          <w:vertAlign w:val="superscript"/>
          <w:lang w:eastAsia="en-US"/>
        </w:rPr>
        <w:footnoteReference w:id="42"/>
      </w:r>
      <w:r w:rsidRPr="0057187F">
        <w:rPr>
          <w:rFonts w:cs="Arial"/>
          <w:lang w:eastAsia="ar-SA"/>
        </w:rPr>
        <w:t xml:space="preserve"> </w:t>
      </w:r>
      <w:r w:rsidR="00C21228">
        <w:rPr>
          <w:rFonts w:cs="Arial"/>
          <w:lang w:eastAsia="ar-SA"/>
        </w:rPr>
        <w:t>prowadzony</w:t>
      </w:r>
      <w:r w:rsidR="00C21228" w:rsidRPr="0057187F">
        <w:rPr>
          <w:rFonts w:cs="Arial"/>
          <w:lang w:eastAsia="ar-SA"/>
        </w:rPr>
        <w:t xml:space="preserve">ch </w:t>
      </w:r>
      <w:r w:rsidR="00C21228">
        <w:rPr>
          <w:rFonts w:cs="Arial"/>
          <w:lang w:eastAsia="ar-SA"/>
        </w:rPr>
        <w:t xml:space="preserve">w ramach danego </w:t>
      </w:r>
      <w:r w:rsidRPr="0057187F">
        <w:rPr>
          <w:rFonts w:cs="Arial"/>
          <w:lang w:eastAsia="ar-SA"/>
        </w:rPr>
        <w:t>programu</w:t>
      </w:r>
      <w:r w:rsidR="00C21228">
        <w:rPr>
          <w:rFonts w:cs="Arial"/>
          <w:lang w:eastAsia="ar-SA"/>
        </w:rPr>
        <w:t>,</w:t>
      </w:r>
      <w:r w:rsidRPr="0057187F">
        <w:rPr>
          <w:rFonts w:cs="Arial"/>
          <w:lang w:eastAsia="ar-SA"/>
        </w:rPr>
        <w:t xml:space="preserve"> </w:t>
      </w:r>
      <w:r w:rsidR="00C21228">
        <w:rPr>
          <w:rFonts w:cs="Arial"/>
          <w:lang w:eastAsia="ar-SA"/>
        </w:rPr>
        <w:t>wybrane</w:t>
      </w:r>
      <w:r w:rsidR="00C21228" w:rsidRPr="0057187F">
        <w:rPr>
          <w:rFonts w:cs="Arial"/>
          <w:lang w:eastAsia="ar-SA"/>
        </w:rPr>
        <w:t xml:space="preserve"> zagadnieni</w:t>
      </w:r>
      <w:r w:rsidR="00C21228">
        <w:rPr>
          <w:rFonts w:cs="Arial"/>
          <w:lang w:eastAsia="ar-SA"/>
        </w:rPr>
        <w:t>a</w:t>
      </w:r>
      <w:r w:rsidRPr="0057187F">
        <w:rPr>
          <w:rFonts w:cs="Arial"/>
          <w:lang w:eastAsia="ar-SA"/>
        </w:rPr>
        <w:t>, proces</w:t>
      </w:r>
      <w:r w:rsidR="00C21228">
        <w:rPr>
          <w:rFonts w:cs="Arial"/>
          <w:lang w:eastAsia="ar-SA"/>
        </w:rPr>
        <w:t>y</w:t>
      </w:r>
      <w:r w:rsidRPr="0057187F">
        <w:rPr>
          <w:rFonts w:cs="Arial"/>
          <w:lang w:eastAsia="ar-SA"/>
        </w:rPr>
        <w:t xml:space="preserve"> lub obszar</w:t>
      </w:r>
      <w:r w:rsidR="00C21228">
        <w:rPr>
          <w:rFonts w:cs="Arial"/>
          <w:lang w:eastAsia="ar-SA"/>
        </w:rPr>
        <w:t>y tematyczne</w:t>
      </w:r>
      <w:r w:rsidRPr="0057187F">
        <w:rPr>
          <w:rFonts w:cs="Arial"/>
          <w:lang w:eastAsia="ar-SA"/>
        </w:rPr>
        <w:t xml:space="preserve"> analizowane </w:t>
      </w:r>
      <w:r w:rsidR="000915C6">
        <w:rPr>
          <w:rFonts w:cs="Arial"/>
          <w:lang w:eastAsia="ar-SA"/>
        </w:rPr>
        <w:t>będą</w:t>
      </w:r>
      <w:r w:rsidR="000915C6" w:rsidRPr="0057187F">
        <w:rPr>
          <w:rFonts w:cs="Arial"/>
          <w:lang w:eastAsia="ar-SA"/>
        </w:rPr>
        <w:t xml:space="preserve"> </w:t>
      </w:r>
      <w:r w:rsidRPr="0057187F">
        <w:rPr>
          <w:rFonts w:cs="Arial"/>
          <w:lang w:eastAsia="ar-SA"/>
        </w:rPr>
        <w:t xml:space="preserve">również w </w:t>
      </w:r>
      <w:r w:rsidR="00C21228">
        <w:rPr>
          <w:rFonts w:cs="Arial"/>
          <w:lang w:eastAsia="ar-SA"/>
        </w:rPr>
        <w:t>kontekście</w:t>
      </w:r>
      <w:r w:rsidR="00C21228" w:rsidRPr="0057187F">
        <w:rPr>
          <w:rFonts w:cs="Arial"/>
          <w:lang w:eastAsia="ar-SA"/>
        </w:rPr>
        <w:t xml:space="preserve"> </w:t>
      </w:r>
      <w:r w:rsidRPr="0057187F">
        <w:rPr>
          <w:rFonts w:cs="Arial"/>
          <w:lang w:eastAsia="ar-SA"/>
        </w:rPr>
        <w:t xml:space="preserve">ich wpływu na realizację </w:t>
      </w:r>
      <w:r w:rsidR="00C21228" w:rsidRPr="0057187F">
        <w:rPr>
          <w:rFonts w:cs="Arial"/>
          <w:lang w:eastAsia="ar-SA"/>
        </w:rPr>
        <w:t>zasad</w:t>
      </w:r>
      <w:r w:rsidR="00C21228">
        <w:rPr>
          <w:rFonts w:cs="Arial"/>
          <w:lang w:eastAsia="ar-SA"/>
        </w:rPr>
        <w:t xml:space="preserve"> równościowych</w:t>
      </w:r>
      <w:r w:rsidRPr="0057187F">
        <w:rPr>
          <w:rFonts w:cs="Arial"/>
          <w:lang w:eastAsia="ar-SA"/>
        </w:rPr>
        <w:t xml:space="preserve">. Na etapie konstruowania założeń </w:t>
      </w:r>
      <w:r w:rsidR="00C21228" w:rsidRPr="0057187F">
        <w:rPr>
          <w:rFonts w:cs="Arial"/>
          <w:lang w:eastAsia="ar-SA"/>
        </w:rPr>
        <w:t>bada</w:t>
      </w:r>
      <w:r w:rsidR="00C21228">
        <w:rPr>
          <w:rFonts w:cs="Arial"/>
          <w:lang w:eastAsia="ar-SA"/>
        </w:rPr>
        <w:t xml:space="preserve">wczych </w:t>
      </w:r>
      <w:r w:rsidRPr="0057187F">
        <w:rPr>
          <w:rFonts w:cs="Arial"/>
          <w:lang w:eastAsia="ar-SA"/>
        </w:rPr>
        <w:t>IZ lub inna, właściwa instytucja analizuje, czy w badanym obszarze mogą wystąpić jakieś istotne różnice w skutkach interwencji dla osób z niepełnosprawnościami, kobiet i mężczyzn oraz innych grup docelowych wsparcia i czy w związku z tym nie należy postawić dodatkowych pytań badawczych</w:t>
      </w:r>
      <w:r w:rsidR="00C21228">
        <w:rPr>
          <w:rFonts w:cs="Arial"/>
          <w:lang w:eastAsia="ar-SA"/>
        </w:rPr>
        <w:t xml:space="preserve"> z tym związanych</w:t>
      </w:r>
      <w:r w:rsidRPr="0057187F">
        <w:rPr>
          <w:rFonts w:cs="Arial"/>
          <w:lang w:eastAsia="ar-SA"/>
        </w:rPr>
        <w:t>. W badaniach ewaluacyjnych, tam gdzie jest to możliwe i uzasadnione, należy także zbierać i przedstawiać dane w podziale na płeć, a także przeprowadzać analizę wyników z uwzględnieniem kategorii płci.</w:t>
      </w:r>
    </w:p>
    <w:p w14:paraId="4BF09EC6" w14:textId="552DE2A5" w:rsidR="0057187F" w:rsidRPr="0057187F" w:rsidRDefault="0057187F" w:rsidP="0057187F">
      <w:pPr>
        <w:numPr>
          <w:ilvl w:val="0"/>
          <w:numId w:val="19"/>
        </w:numPr>
        <w:suppressAutoHyphens/>
        <w:autoSpaceDE w:val="0"/>
        <w:spacing w:before="120" w:after="120" w:line="360" w:lineRule="auto"/>
        <w:rPr>
          <w:rFonts w:cs="Arial"/>
          <w:lang w:eastAsia="ar-SA"/>
        </w:rPr>
      </w:pPr>
      <w:r w:rsidRPr="0057187F">
        <w:rPr>
          <w:rFonts w:cs="Arial"/>
          <w:lang w:eastAsia="ar-SA"/>
        </w:rPr>
        <w:t xml:space="preserve">IZ lub inna, właściwa instytucja monitoruje </w:t>
      </w:r>
      <w:r w:rsidR="00C21228" w:rsidRPr="0057187F">
        <w:rPr>
          <w:rFonts w:cs="Arial"/>
          <w:lang w:eastAsia="ar-SA"/>
        </w:rPr>
        <w:t>na podstawie dostępnych badań, ewaluacji lub analiz</w:t>
      </w:r>
      <w:r w:rsidR="00C21228">
        <w:rPr>
          <w:rFonts w:cs="Arial"/>
          <w:lang w:eastAsia="ar-SA"/>
        </w:rPr>
        <w:t xml:space="preserve"> </w:t>
      </w:r>
      <w:r w:rsidR="00261F5D">
        <w:rPr>
          <w:rFonts w:cs="Arial"/>
          <w:lang w:eastAsia="ar-SA"/>
        </w:rPr>
        <w:t>występowani</w:t>
      </w:r>
      <w:r w:rsidR="00F43DB2">
        <w:rPr>
          <w:rFonts w:cs="Arial"/>
          <w:lang w:eastAsia="ar-SA"/>
        </w:rPr>
        <w:t>e</w:t>
      </w:r>
      <w:r w:rsidR="00261F5D">
        <w:rPr>
          <w:rFonts w:cs="Arial"/>
          <w:lang w:eastAsia="ar-SA"/>
        </w:rPr>
        <w:t xml:space="preserve"> barier</w:t>
      </w:r>
      <w:r w:rsidR="00C21228" w:rsidRPr="00C21228">
        <w:rPr>
          <w:rFonts w:cs="Arial"/>
          <w:lang w:eastAsia="ar-SA"/>
        </w:rPr>
        <w:t xml:space="preserve"> </w:t>
      </w:r>
      <w:r w:rsidR="00C21228" w:rsidRPr="0057187F">
        <w:rPr>
          <w:rFonts w:cs="Arial"/>
          <w:lang w:eastAsia="ar-SA"/>
        </w:rPr>
        <w:t>w obszarach wsparcia programu</w:t>
      </w:r>
      <w:r w:rsidR="00261F5D">
        <w:rPr>
          <w:rFonts w:cs="Arial"/>
          <w:lang w:eastAsia="ar-SA"/>
        </w:rPr>
        <w:t xml:space="preserve"> </w:t>
      </w:r>
      <w:r w:rsidR="00C21228">
        <w:rPr>
          <w:rFonts w:cs="Arial"/>
          <w:lang w:eastAsia="ar-SA"/>
        </w:rPr>
        <w:t xml:space="preserve">lub </w:t>
      </w:r>
      <w:r w:rsidR="00C21228" w:rsidRPr="0057187F">
        <w:rPr>
          <w:rFonts w:cs="Arial"/>
          <w:lang w:eastAsia="ar-SA"/>
        </w:rPr>
        <w:t>sytuację osób narażonych na dyskryminację</w:t>
      </w:r>
      <w:r w:rsidR="00C21228">
        <w:rPr>
          <w:rFonts w:cs="Arial"/>
          <w:lang w:eastAsia="ar-SA"/>
        </w:rPr>
        <w:t xml:space="preserve">  </w:t>
      </w:r>
      <w:r w:rsidRPr="0057187F">
        <w:rPr>
          <w:rFonts w:cs="Arial"/>
          <w:lang w:eastAsia="ar-SA"/>
        </w:rPr>
        <w:t>ze względu na przesłanki określone w rozporządzeniu ogólnym i KPP (tj.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r w:rsidR="00C21228">
        <w:rPr>
          <w:rFonts w:cs="Arial"/>
          <w:lang w:eastAsia="ar-SA"/>
        </w:rPr>
        <w:t>.</w:t>
      </w:r>
    </w:p>
    <w:p w14:paraId="030AEED0" w14:textId="5C1CCAD4" w:rsidR="0057187F" w:rsidRPr="0057187F" w:rsidRDefault="0057187F" w:rsidP="0057187F">
      <w:pPr>
        <w:numPr>
          <w:ilvl w:val="0"/>
          <w:numId w:val="19"/>
        </w:numPr>
        <w:suppressAutoHyphens/>
        <w:autoSpaceDE w:val="0"/>
        <w:spacing w:before="120" w:after="120" w:line="360" w:lineRule="auto"/>
        <w:rPr>
          <w:rFonts w:cs="Arial"/>
          <w:lang w:eastAsia="ar-SA"/>
        </w:rPr>
      </w:pPr>
      <w:r w:rsidRPr="0057187F">
        <w:rPr>
          <w:rFonts w:cs="Arial"/>
          <w:lang w:eastAsia="ar-SA"/>
        </w:rPr>
        <w:t xml:space="preserve">W przypadku identyfikacji </w:t>
      </w:r>
      <w:r w:rsidR="00C21228">
        <w:rPr>
          <w:rFonts w:cs="Arial"/>
          <w:lang w:eastAsia="ar-SA"/>
        </w:rPr>
        <w:t xml:space="preserve">barier lub </w:t>
      </w:r>
      <w:r w:rsidRPr="0057187F">
        <w:rPr>
          <w:rFonts w:cs="Arial"/>
          <w:lang w:eastAsia="ar-SA"/>
        </w:rPr>
        <w:t>ryzyka dyskryminacji</w:t>
      </w:r>
      <w:r w:rsidR="00C21228">
        <w:rPr>
          <w:rFonts w:cs="Arial"/>
          <w:lang w:eastAsia="ar-SA"/>
        </w:rPr>
        <w:t xml:space="preserve">, </w:t>
      </w:r>
      <w:r w:rsidRPr="0057187F">
        <w:rPr>
          <w:rFonts w:cs="Arial"/>
          <w:lang w:eastAsia="ar-SA"/>
        </w:rPr>
        <w:t xml:space="preserve">IZ lub inna, właściwa instytucja proponuje rozwiązania (np. kryteria premiujące udział </w:t>
      </w:r>
      <w:r w:rsidRPr="0057187F">
        <w:rPr>
          <w:rFonts w:cs="Arial"/>
          <w:lang w:eastAsia="ar-SA"/>
        </w:rPr>
        <w:lastRenderedPageBreak/>
        <w:t xml:space="preserve">poszczególnych grup w projektach lub określony rodzaj wsparcia, wyodrębnienie części alokacji na projekty ukierunkowane na rozwiązanie zidentyfikowanych problemów) minimalizujące ryzyko </w:t>
      </w:r>
      <w:r w:rsidR="00C21228">
        <w:rPr>
          <w:rFonts w:cs="Arial"/>
          <w:lang w:eastAsia="ar-SA"/>
        </w:rPr>
        <w:t xml:space="preserve">występowania barier lub </w:t>
      </w:r>
      <w:r w:rsidRPr="0057187F">
        <w:rPr>
          <w:rFonts w:cs="Arial"/>
          <w:lang w:eastAsia="ar-SA"/>
        </w:rPr>
        <w:t>dyskryminacji w obszarach wsparcia programu.</w:t>
      </w:r>
    </w:p>
    <w:p w14:paraId="4499494E" w14:textId="7AB49F5A" w:rsidR="001D2311" w:rsidRPr="0057187F" w:rsidRDefault="0031015E" w:rsidP="0057187F">
      <w:pPr>
        <w:numPr>
          <w:ilvl w:val="0"/>
          <w:numId w:val="19"/>
        </w:numPr>
        <w:suppressAutoHyphens/>
        <w:autoSpaceDE w:val="0"/>
        <w:spacing w:before="120" w:after="120" w:line="360" w:lineRule="auto"/>
        <w:rPr>
          <w:rFonts w:cs="Arial"/>
          <w:lang w:eastAsia="ar-SA"/>
        </w:rPr>
      </w:pPr>
      <w:r>
        <w:rPr>
          <w:rFonts w:eastAsia="Calibri" w:cs="Arial"/>
          <w:lang w:eastAsia="en-US"/>
        </w:rPr>
        <w:t xml:space="preserve"> </w:t>
      </w:r>
      <w:r w:rsidR="0057187F" w:rsidRPr="0057187F">
        <w:rPr>
          <w:rFonts w:eastAsia="Calibri" w:cs="Arial"/>
          <w:lang w:eastAsia="en-US"/>
        </w:rPr>
        <w:t>W przypadku zadań z zakresu informacji i promocji realizowanych przez IZ lub inną, właściwą instytucję,</w:t>
      </w:r>
      <w:r w:rsidR="008D230E">
        <w:rPr>
          <w:rFonts w:eastAsia="Calibri" w:cs="Arial"/>
          <w:lang w:eastAsia="en-US"/>
        </w:rPr>
        <w:t xml:space="preserve"> </w:t>
      </w:r>
      <w:r w:rsidR="0057187F" w:rsidRPr="0057187F">
        <w:rPr>
          <w:rFonts w:eastAsia="Calibri" w:cs="Arial"/>
          <w:lang w:eastAsia="en-US"/>
        </w:rPr>
        <w:t>mają zastosowanie standardy dostępności dla polityki spójności 2021-2027 określone w części: standard informacyjno-promocyjny.</w:t>
      </w:r>
    </w:p>
    <w:p w14:paraId="0420EE68" w14:textId="2B59370E" w:rsidR="0057187F" w:rsidRPr="0057187F" w:rsidRDefault="0057187F" w:rsidP="0057187F">
      <w:pPr>
        <w:pStyle w:val="Nagwek2"/>
        <w:rPr>
          <w:rFonts w:cs="Arial"/>
        </w:rPr>
      </w:pPr>
      <w:bookmarkStart w:id="56" w:name="_Toc108787459"/>
      <w:r w:rsidRPr="0057187F">
        <w:rPr>
          <w:rFonts w:cs="Arial"/>
        </w:rPr>
        <w:t>Podrozdział 5.3. Kontrola</w:t>
      </w:r>
      <w:bookmarkEnd w:id="56"/>
    </w:p>
    <w:p w14:paraId="5AD52088" w14:textId="70A7BA71" w:rsidR="0057187F" w:rsidRPr="0057187F" w:rsidRDefault="0057187F" w:rsidP="0057187F">
      <w:pPr>
        <w:numPr>
          <w:ilvl w:val="0"/>
          <w:numId w:val="21"/>
        </w:numPr>
        <w:spacing w:before="120" w:after="120" w:line="360" w:lineRule="auto"/>
        <w:ind w:hanging="357"/>
        <w:rPr>
          <w:rFonts w:eastAsia="Calibri" w:cs="Arial"/>
          <w:szCs w:val="28"/>
        </w:rPr>
      </w:pPr>
      <w:bookmarkStart w:id="57" w:name="_Toc54866020"/>
      <w:bookmarkStart w:id="58" w:name="_Toc54866808"/>
      <w:bookmarkStart w:id="59" w:name="_Toc73367354"/>
      <w:bookmarkStart w:id="60" w:name="_Toc100223653"/>
      <w:r w:rsidRPr="0057187F">
        <w:rPr>
          <w:rFonts w:eastAsia="Calibri" w:cs="Arial"/>
          <w:szCs w:val="28"/>
        </w:rPr>
        <w:t xml:space="preserve">W ramach </w:t>
      </w:r>
      <w:r w:rsidR="00C21228">
        <w:rPr>
          <w:rFonts w:eastAsia="Calibri" w:cs="Arial"/>
          <w:szCs w:val="28"/>
        </w:rPr>
        <w:t xml:space="preserve">ogólnej </w:t>
      </w:r>
      <w:r w:rsidRPr="0057187F">
        <w:rPr>
          <w:rFonts w:eastAsia="Calibri" w:cs="Arial"/>
          <w:szCs w:val="28"/>
        </w:rPr>
        <w:t>kontroli projektów IZ lub inna, właściwa instytucja</w:t>
      </w:r>
      <w:r w:rsidRPr="0057187F">
        <w:rPr>
          <w:rFonts w:cs="Arial"/>
          <w:szCs w:val="28"/>
        </w:rPr>
        <w:t xml:space="preserve"> </w:t>
      </w:r>
      <w:r w:rsidRPr="0057187F">
        <w:rPr>
          <w:rFonts w:eastAsia="Calibri" w:cs="Arial"/>
          <w:szCs w:val="28"/>
        </w:rPr>
        <w:t xml:space="preserve">weryfikuje </w:t>
      </w:r>
      <w:r w:rsidR="00C21228">
        <w:rPr>
          <w:rFonts w:eastAsia="Calibri" w:cs="Arial"/>
          <w:szCs w:val="28"/>
        </w:rPr>
        <w:t xml:space="preserve">również </w:t>
      </w:r>
      <w:r w:rsidR="003D0637">
        <w:rPr>
          <w:rFonts w:eastAsia="Calibri" w:cs="Arial"/>
          <w:szCs w:val="28"/>
        </w:rPr>
        <w:t>zgodnoś</w:t>
      </w:r>
      <w:r w:rsidR="00C21228">
        <w:rPr>
          <w:rFonts w:eastAsia="Calibri" w:cs="Arial"/>
          <w:szCs w:val="28"/>
        </w:rPr>
        <w:t>ć</w:t>
      </w:r>
      <w:r w:rsidR="003D0637">
        <w:rPr>
          <w:rFonts w:eastAsia="Calibri" w:cs="Arial"/>
          <w:szCs w:val="28"/>
        </w:rPr>
        <w:t xml:space="preserve"> </w:t>
      </w:r>
      <w:r w:rsidR="00C21228">
        <w:rPr>
          <w:rFonts w:eastAsia="Calibri" w:cs="Arial"/>
          <w:szCs w:val="28"/>
        </w:rPr>
        <w:t xml:space="preserve">projektu </w:t>
      </w:r>
      <w:r w:rsidR="003D0637">
        <w:rPr>
          <w:rFonts w:eastAsia="Calibri" w:cs="Arial"/>
          <w:szCs w:val="28"/>
        </w:rPr>
        <w:t xml:space="preserve">z </w:t>
      </w:r>
      <w:r w:rsidR="00C21228">
        <w:rPr>
          <w:rFonts w:eastAsia="Calibri" w:cs="Arial"/>
          <w:szCs w:val="28"/>
        </w:rPr>
        <w:t>zasadami równościowymi</w:t>
      </w:r>
      <w:r w:rsidRPr="0057187F">
        <w:rPr>
          <w:rFonts w:eastAsia="Calibri" w:cs="Arial"/>
          <w:szCs w:val="28"/>
        </w:rPr>
        <w:t>.</w:t>
      </w:r>
      <w:bookmarkEnd w:id="57"/>
      <w:bookmarkEnd w:id="58"/>
      <w:r w:rsidRPr="0057187F">
        <w:rPr>
          <w:rFonts w:eastAsia="Calibri" w:cs="Arial"/>
          <w:szCs w:val="28"/>
        </w:rPr>
        <w:t xml:space="preserve"> IZ lub </w:t>
      </w:r>
      <w:r w:rsidRPr="0057187F">
        <w:rPr>
          <w:rFonts w:cs="Arial"/>
          <w:szCs w:val="28"/>
        </w:rPr>
        <w:t xml:space="preserve">inna właściwa instytucja </w:t>
      </w:r>
      <w:r w:rsidRPr="0057187F">
        <w:rPr>
          <w:rFonts w:eastAsia="Calibri" w:cs="Arial"/>
          <w:szCs w:val="28"/>
        </w:rPr>
        <w:t xml:space="preserve">może także w dowolnym momencie zdecydować o przeprowadzeniu kontroli ad hoc, związanej wyłącznie z weryfikacją realizacji obu zasad horyzontalnych </w:t>
      </w:r>
      <w:r w:rsidR="00C21228">
        <w:rPr>
          <w:rFonts w:eastAsia="Calibri" w:cs="Arial"/>
          <w:szCs w:val="28"/>
        </w:rPr>
        <w:t>(</w:t>
      </w:r>
      <w:r w:rsidRPr="0057187F">
        <w:rPr>
          <w:rFonts w:eastAsia="Calibri" w:cs="Arial"/>
          <w:szCs w:val="28"/>
        </w:rPr>
        <w:t>lub jednej z nich</w:t>
      </w:r>
      <w:r w:rsidR="00C21228">
        <w:rPr>
          <w:rFonts w:eastAsia="Calibri" w:cs="Arial"/>
          <w:szCs w:val="28"/>
        </w:rPr>
        <w:t>)</w:t>
      </w:r>
      <w:r w:rsidRPr="0057187F">
        <w:rPr>
          <w:rFonts w:eastAsia="Calibri" w:cs="Arial"/>
          <w:szCs w:val="28"/>
        </w:rPr>
        <w:t>.</w:t>
      </w:r>
      <w:bookmarkEnd w:id="59"/>
      <w:bookmarkEnd w:id="60"/>
    </w:p>
    <w:p w14:paraId="3D4DD926" w14:textId="77777777" w:rsidR="0057187F" w:rsidRPr="0057187F" w:rsidRDefault="0057187F" w:rsidP="0057187F">
      <w:pPr>
        <w:numPr>
          <w:ilvl w:val="0"/>
          <w:numId w:val="21"/>
        </w:numPr>
        <w:spacing w:before="120" w:after="120" w:line="360" w:lineRule="auto"/>
        <w:ind w:hanging="357"/>
        <w:rPr>
          <w:rFonts w:eastAsia="Calibri" w:cs="Arial"/>
          <w:szCs w:val="28"/>
        </w:rPr>
      </w:pPr>
      <w:r w:rsidRPr="0057187F">
        <w:rPr>
          <w:rFonts w:eastAsia="Calibri" w:cs="Arial"/>
          <w:lang w:eastAsia="en-US"/>
        </w:rPr>
        <w:t>W ramach kontroli weryfikuje się czy działania zostały zrealizowane zgodnie z:</w:t>
      </w:r>
    </w:p>
    <w:p w14:paraId="6E90552D" w14:textId="77777777" w:rsidR="0057187F" w:rsidRPr="0057187F" w:rsidRDefault="0057187F" w:rsidP="0057187F">
      <w:pPr>
        <w:numPr>
          <w:ilvl w:val="0"/>
          <w:numId w:val="20"/>
        </w:numPr>
        <w:spacing w:before="120" w:after="120" w:line="360" w:lineRule="auto"/>
        <w:ind w:hanging="357"/>
        <w:rPr>
          <w:rFonts w:eastAsia="Calibri" w:cs="Arial"/>
          <w:szCs w:val="28"/>
        </w:rPr>
      </w:pPr>
      <w:r w:rsidRPr="0057187F">
        <w:rPr>
          <w:rFonts w:eastAsia="Calibri" w:cs="Arial"/>
          <w:lang w:eastAsia="en-US"/>
        </w:rPr>
        <w:t>założeniami wniosku o dofinansowanie projektu;</w:t>
      </w:r>
    </w:p>
    <w:p w14:paraId="32209F67" w14:textId="77777777" w:rsidR="0057187F" w:rsidRPr="0057187F" w:rsidRDefault="0057187F" w:rsidP="0057187F">
      <w:pPr>
        <w:numPr>
          <w:ilvl w:val="0"/>
          <w:numId w:val="20"/>
        </w:numPr>
        <w:spacing w:before="120" w:after="120" w:line="360" w:lineRule="auto"/>
        <w:ind w:hanging="357"/>
        <w:rPr>
          <w:rFonts w:eastAsia="Calibri" w:cs="Arial"/>
          <w:szCs w:val="28"/>
        </w:rPr>
      </w:pPr>
      <w:r w:rsidRPr="0057187F">
        <w:rPr>
          <w:rFonts w:eastAsia="Calibri" w:cs="Arial"/>
          <w:lang w:eastAsia="en-US"/>
        </w:rPr>
        <w:t>standardami dostępności dla polityki spójności na lata 2021-2027 – jeśli dotyczą danego projektu;</w:t>
      </w:r>
    </w:p>
    <w:p w14:paraId="288FF63B" w14:textId="3791987F" w:rsidR="0057187F" w:rsidRPr="0057187F" w:rsidRDefault="0057187F" w:rsidP="0057187F">
      <w:pPr>
        <w:numPr>
          <w:ilvl w:val="0"/>
          <w:numId w:val="20"/>
        </w:numPr>
        <w:spacing w:before="120" w:after="120" w:line="360" w:lineRule="auto"/>
        <w:ind w:hanging="357"/>
        <w:rPr>
          <w:rFonts w:eastAsia="Calibri" w:cs="Arial"/>
          <w:szCs w:val="28"/>
        </w:rPr>
      </w:pPr>
      <w:r w:rsidRPr="0057187F">
        <w:rPr>
          <w:rFonts w:eastAsia="Calibri" w:cs="Arial"/>
          <w:lang w:eastAsia="en-US"/>
        </w:rPr>
        <w:t>innymi wymaganiami IZ lub innej, właściwej instytucji – jeśli zostały określone;</w:t>
      </w:r>
    </w:p>
    <w:p w14:paraId="35E5F7AC" w14:textId="77777777" w:rsidR="0057187F" w:rsidRPr="0057187F" w:rsidRDefault="0057187F" w:rsidP="0057187F">
      <w:pPr>
        <w:numPr>
          <w:ilvl w:val="0"/>
          <w:numId w:val="20"/>
        </w:numPr>
        <w:spacing w:before="120" w:after="120" w:line="360" w:lineRule="auto"/>
        <w:ind w:hanging="357"/>
        <w:rPr>
          <w:rFonts w:eastAsia="Calibri" w:cs="Arial"/>
          <w:szCs w:val="28"/>
        </w:rPr>
      </w:pPr>
      <w:r w:rsidRPr="0057187F">
        <w:rPr>
          <w:rFonts w:eastAsia="Calibri" w:cs="Arial"/>
          <w:lang w:eastAsia="en-US"/>
        </w:rPr>
        <w:t>informacjami wskazanymi przez beneficjenta we wniosku o płatność lub innymi równorzędnymi dokumentami.</w:t>
      </w:r>
    </w:p>
    <w:p w14:paraId="525B4AD7" w14:textId="729C0191" w:rsidR="0057187F" w:rsidRPr="0057187F" w:rsidRDefault="0057187F" w:rsidP="0057187F">
      <w:pPr>
        <w:numPr>
          <w:ilvl w:val="0"/>
          <w:numId w:val="21"/>
        </w:numPr>
        <w:spacing w:before="120" w:after="120" w:line="360" w:lineRule="auto"/>
        <w:ind w:hanging="357"/>
        <w:rPr>
          <w:rFonts w:eastAsia="Calibri" w:cs="Arial"/>
          <w:szCs w:val="28"/>
        </w:rPr>
      </w:pPr>
      <w:r w:rsidRPr="0057187F">
        <w:rPr>
          <w:rFonts w:eastAsia="Calibri" w:cs="Arial"/>
          <w:lang w:eastAsia="en-US"/>
        </w:rPr>
        <w:t xml:space="preserve">Kontroli podlegają zarówno </w:t>
      </w:r>
      <w:r w:rsidR="00C21228">
        <w:rPr>
          <w:rFonts w:eastAsia="Calibri" w:cs="Arial"/>
          <w:lang w:eastAsia="en-US"/>
        </w:rPr>
        <w:t>usługi jak i</w:t>
      </w:r>
      <w:r w:rsidRPr="0057187F">
        <w:rPr>
          <w:rFonts w:eastAsia="Calibri" w:cs="Arial"/>
          <w:lang w:eastAsia="en-US"/>
        </w:rPr>
        <w:t xml:space="preserve"> produkty (na przykład budynek, </w:t>
      </w:r>
      <w:r w:rsidR="002F5205">
        <w:rPr>
          <w:rFonts w:eastAsia="Calibri" w:cs="Arial"/>
          <w:lang w:eastAsia="en-US"/>
        </w:rPr>
        <w:t xml:space="preserve">pojazd, </w:t>
      </w:r>
      <w:r w:rsidRPr="0057187F">
        <w:rPr>
          <w:rFonts w:eastAsia="Calibri" w:cs="Arial"/>
          <w:lang w:eastAsia="en-US"/>
        </w:rPr>
        <w:t>strona internetowa</w:t>
      </w:r>
      <w:r w:rsidRPr="0057187F">
        <w:rPr>
          <w:rFonts w:eastAsia="Calibri" w:cs="Arial"/>
          <w:vertAlign w:val="superscript"/>
          <w:lang w:eastAsia="en-US"/>
        </w:rPr>
        <w:footnoteReference w:id="43"/>
      </w:r>
      <w:r w:rsidRPr="0057187F">
        <w:rPr>
          <w:rFonts w:eastAsia="Calibri" w:cs="Arial"/>
          <w:lang w:eastAsia="en-US"/>
        </w:rPr>
        <w:t xml:space="preserve">, urządzenie, opracowany raport, </w:t>
      </w:r>
      <w:r w:rsidR="00C21228">
        <w:rPr>
          <w:rFonts w:eastAsia="Calibri" w:cs="Arial"/>
          <w:lang w:eastAsia="en-US"/>
        </w:rPr>
        <w:t>szkolenie, konferencja, doradztwo</w:t>
      </w:r>
      <w:r w:rsidRPr="0057187F">
        <w:rPr>
          <w:rFonts w:eastAsia="Calibri" w:cs="Arial"/>
          <w:lang w:eastAsia="en-US"/>
        </w:rPr>
        <w:t xml:space="preserve"> itp.) wytworzone lub zakupione w ramach projektu.</w:t>
      </w:r>
    </w:p>
    <w:p w14:paraId="1352ED47" w14:textId="28B53C71" w:rsidR="0057187F" w:rsidRPr="00DB41F8" w:rsidRDefault="0057187F" w:rsidP="00377B64">
      <w:pPr>
        <w:numPr>
          <w:ilvl w:val="0"/>
          <w:numId w:val="21"/>
        </w:numPr>
        <w:spacing w:before="120" w:after="120" w:line="360" w:lineRule="auto"/>
        <w:ind w:hanging="357"/>
        <w:rPr>
          <w:rFonts w:eastAsia="Calibri" w:cs="Arial"/>
          <w:szCs w:val="28"/>
        </w:rPr>
      </w:pPr>
      <w:r w:rsidRPr="0057187F">
        <w:rPr>
          <w:rFonts w:cs="Arial"/>
          <w:lang w:eastAsia="ar-SA"/>
        </w:rPr>
        <w:lastRenderedPageBreak/>
        <w:t xml:space="preserve">IZ lub inna, właściwa instytucja weryfikuje zgodność projektów i ich produktów </w:t>
      </w:r>
      <w:bookmarkStart w:id="61" w:name="_Hlk99963879"/>
      <w:r w:rsidRPr="0057187F">
        <w:rPr>
          <w:rFonts w:cs="Arial"/>
          <w:lang w:eastAsia="ar-SA"/>
        </w:rPr>
        <w:t xml:space="preserve">(w tym także usług) </w:t>
      </w:r>
      <w:bookmarkEnd w:id="61"/>
      <w:r w:rsidRPr="0057187F">
        <w:rPr>
          <w:rFonts w:cs="Arial"/>
          <w:lang w:eastAsia="ar-SA"/>
        </w:rPr>
        <w:t xml:space="preserve">z zasadami horyzontalnymi w oparciu o specjalnie określone pytania, zawarte w listach kontrolnych dla każdej z zasad rozdzielnie. </w:t>
      </w:r>
      <w:r w:rsidR="00DB41F8">
        <w:rPr>
          <w:rFonts w:cs="Arial"/>
          <w:lang w:eastAsia="ar-SA"/>
        </w:rPr>
        <w:t>Weryfikacja może</w:t>
      </w:r>
      <w:r w:rsidR="00DB41F8" w:rsidRPr="00DB41F8">
        <w:rPr>
          <w:rFonts w:cs="Arial"/>
          <w:lang w:eastAsia="ar-SA"/>
        </w:rPr>
        <w:t xml:space="preserve"> być również </w:t>
      </w:r>
      <w:r w:rsidR="00DB41F8">
        <w:rPr>
          <w:rFonts w:cs="Arial"/>
          <w:lang w:eastAsia="ar-SA"/>
        </w:rPr>
        <w:t>prowadzona w oparciu o informacje zbierane od</w:t>
      </w:r>
      <w:r w:rsidR="00DB41F8" w:rsidRPr="00DB41F8">
        <w:rPr>
          <w:rFonts w:cs="Arial"/>
          <w:lang w:eastAsia="ar-SA"/>
        </w:rPr>
        <w:t xml:space="preserve"> uczestnik</w:t>
      </w:r>
      <w:r w:rsidR="00DB41F8">
        <w:rPr>
          <w:rFonts w:cs="Arial"/>
          <w:lang w:eastAsia="ar-SA"/>
        </w:rPr>
        <w:t>ów</w:t>
      </w:r>
      <w:r w:rsidR="00735FEC">
        <w:rPr>
          <w:rFonts w:cs="Arial"/>
          <w:lang w:eastAsia="ar-SA"/>
        </w:rPr>
        <w:t>/uczestniczek</w:t>
      </w:r>
      <w:r w:rsidR="00DB41F8" w:rsidRPr="00DB41F8">
        <w:rPr>
          <w:rFonts w:cs="Arial"/>
          <w:lang w:eastAsia="ar-SA"/>
        </w:rPr>
        <w:t xml:space="preserve"> projekt</w:t>
      </w:r>
      <w:r w:rsidR="00DB41F8">
        <w:rPr>
          <w:rFonts w:cs="Arial"/>
          <w:lang w:eastAsia="ar-SA"/>
        </w:rPr>
        <w:t xml:space="preserve">ów </w:t>
      </w:r>
      <w:r w:rsidR="002F5205">
        <w:rPr>
          <w:rFonts w:cs="Arial"/>
          <w:lang w:eastAsia="ar-SA"/>
        </w:rPr>
        <w:t>lub użytkowników</w:t>
      </w:r>
      <w:r w:rsidR="00735FEC">
        <w:rPr>
          <w:rFonts w:cs="Arial"/>
          <w:lang w:eastAsia="ar-SA"/>
        </w:rPr>
        <w:t>/użytkowniczek</w:t>
      </w:r>
      <w:r w:rsidR="002F5205">
        <w:rPr>
          <w:rFonts w:cs="Arial"/>
          <w:lang w:eastAsia="ar-SA"/>
        </w:rPr>
        <w:t xml:space="preserve"> </w:t>
      </w:r>
      <w:r w:rsidR="00DB41F8" w:rsidRPr="00DB41F8">
        <w:rPr>
          <w:rFonts w:cs="Arial"/>
          <w:lang w:eastAsia="ar-SA"/>
        </w:rPr>
        <w:t>wykorzystujący</w:t>
      </w:r>
      <w:r w:rsidR="00DB41F8">
        <w:rPr>
          <w:rFonts w:cs="Arial"/>
          <w:lang w:eastAsia="ar-SA"/>
        </w:rPr>
        <w:t xml:space="preserve">ch </w:t>
      </w:r>
      <w:r w:rsidR="00DB41F8" w:rsidRPr="00DB41F8">
        <w:rPr>
          <w:rFonts w:cs="Arial"/>
          <w:lang w:eastAsia="ar-SA"/>
        </w:rPr>
        <w:t>dany produkt</w:t>
      </w:r>
      <w:r w:rsidR="00DB41F8">
        <w:rPr>
          <w:rFonts w:cs="Arial"/>
          <w:lang w:eastAsia="ar-SA"/>
        </w:rPr>
        <w:t>/</w:t>
      </w:r>
      <w:r w:rsidR="00DB41F8" w:rsidRPr="00DB41F8">
        <w:rPr>
          <w:rFonts w:cs="Arial"/>
          <w:lang w:eastAsia="ar-SA"/>
        </w:rPr>
        <w:t>usługę - o ile</w:t>
      </w:r>
      <w:r w:rsidR="00DB41F8">
        <w:rPr>
          <w:rFonts w:cs="Arial"/>
          <w:lang w:eastAsia="ar-SA"/>
        </w:rPr>
        <w:t xml:space="preserve"> jest to</w:t>
      </w:r>
      <w:r w:rsidR="00DB41F8" w:rsidRPr="00DB41F8">
        <w:rPr>
          <w:rFonts w:cs="Arial"/>
          <w:lang w:eastAsia="ar-SA"/>
        </w:rPr>
        <w:t xml:space="preserve"> uzasadnione specyfiką projektu.</w:t>
      </w:r>
      <w:r w:rsidR="00DB41F8">
        <w:rPr>
          <w:rFonts w:eastAsia="Calibri" w:cs="Arial"/>
          <w:szCs w:val="28"/>
        </w:rPr>
        <w:t xml:space="preserve"> </w:t>
      </w:r>
      <w:r w:rsidRPr="00377B64">
        <w:rPr>
          <w:rFonts w:cs="Arial"/>
          <w:lang w:eastAsia="ar-SA"/>
        </w:rPr>
        <w:t>Wyniki przeprowadzonej kontroli są odzw</w:t>
      </w:r>
      <w:r w:rsidRPr="00DB41F8">
        <w:rPr>
          <w:rFonts w:cs="Arial"/>
          <w:lang w:eastAsia="ar-SA"/>
        </w:rPr>
        <w:t>ierciedlane w informacji pokontrolnej.</w:t>
      </w:r>
    </w:p>
    <w:p w14:paraId="3538DB31" w14:textId="696C5BAF" w:rsidR="00CB0430" w:rsidRPr="0057187F" w:rsidRDefault="00CB0430" w:rsidP="0057187F">
      <w:pPr>
        <w:pStyle w:val="Akapitzlist"/>
        <w:numPr>
          <w:ilvl w:val="0"/>
          <w:numId w:val="21"/>
        </w:numPr>
        <w:spacing w:after="120" w:line="360" w:lineRule="auto"/>
        <w:ind w:hanging="357"/>
        <w:contextualSpacing w:val="0"/>
        <w:rPr>
          <w:rFonts w:cs="Arial"/>
        </w:rPr>
      </w:pPr>
      <w:r w:rsidRPr="00CB0430">
        <w:rPr>
          <w:rFonts w:cs="Arial"/>
        </w:rPr>
        <w:t xml:space="preserve">W przypadku rażących lub notorycznych naruszeń </w:t>
      </w:r>
      <w:r w:rsidR="00637C96" w:rsidRPr="00DA067E">
        <w:rPr>
          <w:rFonts w:cs="Arial"/>
          <w:i/>
          <w:iCs/>
        </w:rPr>
        <w:t>Standardów dostępności</w:t>
      </w:r>
      <w:r w:rsidR="00637C96" w:rsidRPr="00637C96">
        <w:rPr>
          <w:rFonts w:eastAsia="Calibri" w:cs="Arial"/>
          <w:lang w:eastAsia="en-US"/>
        </w:rPr>
        <w:t xml:space="preserve"> </w:t>
      </w:r>
      <w:r w:rsidR="00637C96">
        <w:rPr>
          <w:rFonts w:eastAsia="Calibri" w:cs="Arial"/>
          <w:lang w:eastAsia="en-US"/>
        </w:rPr>
        <w:t xml:space="preserve">lub </w:t>
      </w:r>
      <w:r w:rsidR="00637C96" w:rsidRPr="0057187F">
        <w:rPr>
          <w:rFonts w:eastAsia="Calibri" w:cs="Arial"/>
          <w:lang w:eastAsia="en-US"/>
        </w:rPr>
        <w:t xml:space="preserve">uchylania się beneficjenta od realizacji działań </w:t>
      </w:r>
      <w:r w:rsidR="00637C96">
        <w:rPr>
          <w:rFonts w:eastAsia="Calibri" w:cs="Arial"/>
          <w:lang w:eastAsia="en-US"/>
        </w:rPr>
        <w:t>naprawczych,</w:t>
      </w:r>
      <w:r w:rsidRPr="00CB0430">
        <w:rPr>
          <w:rFonts w:cs="Arial"/>
        </w:rPr>
        <w:t xml:space="preserve"> IZ może uznać część wydatków </w:t>
      </w:r>
      <w:r w:rsidR="00637C96">
        <w:rPr>
          <w:rFonts w:cs="Arial"/>
        </w:rPr>
        <w:t xml:space="preserve">projektu </w:t>
      </w:r>
      <w:r w:rsidRPr="00CB0430">
        <w:rPr>
          <w:rFonts w:cs="Arial"/>
        </w:rPr>
        <w:t>za niekwalifikowalne</w:t>
      </w:r>
      <w:r w:rsidR="00637C96">
        <w:rPr>
          <w:rFonts w:cs="Arial"/>
        </w:rPr>
        <w:t xml:space="preserve">. </w:t>
      </w:r>
      <w:r w:rsidRPr="00CB0430">
        <w:rPr>
          <w:rFonts w:cs="Arial"/>
        </w:rPr>
        <w:t xml:space="preserve">Stosowne postanowienia w przedmiotowym zakresie powinny zostać ujęte w umowie o dofinansowanie projektu. </w:t>
      </w:r>
    </w:p>
    <w:p w14:paraId="21FC8B45" w14:textId="38227D02" w:rsidR="001D2311" w:rsidRPr="0057187F" w:rsidRDefault="0057187F" w:rsidP="0057187F">
      <w:pPr>
        <w:numPr>
          <w:ilvl w:val="0"/>
          <w:numId w:val="21"/>
        </w:numPr>
        <w:spacing w:before="120" w:after="120" w:line="360" w:lineRule="auto"/>
        <w:ind w:hanging="357"/>
        <w:rPr>
          <w:rFonts w:eastAsia="Calibri" w:cs="Arial"/>
          <w:szCs w:val="28"/>
        </w:rPr>
      </w:pPr>
      <w:r w:rsidRPr="0057187F">
        <w:rPr>
          <w:rFonts w:cs="Arial"/>
          <w:lang w:eastAsia="ar-SA"/>
        </w:rPr>
        <w:t xml:space="preserve">Przynajmniej raz w okresie programowania IZ </w:t>
      </w:r>
      <w:r w:rsidR="002F5205">
        <w:rPr>
          <w:rFonts w:cs="Arial"/>
          <w:lang w:eastAsia="ar-SA"/>
        </w:rPr>
        <w:t xml:space="preserve">dokonuje weryfikacji spełniania </w:t>
      </w:r>
      <w:r w:rsidRPr="0057187F">
        <w:rPr>
          <w:rFonts w:cs="Arial"/>
          <w:lang w:eastAsia="ar-SA"/>
        </w:rPr>
        <w:t xml:space="preserve"> </w:t>
      </w:r>
      <w:r w:rsidR="002F5205" w:rsidRPr="00DA067E">
        <w:rPr>
          <w:rFonts w:cs="Arial"/>
          <w:i/>
          <w:iCs/>
          <w:lang w:eastAsia="ar-SA"/>
        </w:rPr>
        <w:t>Standardów dostępności</w:t>
      </w:r>
      <w:r w:rsidR="002F5205" w:rsidRPr="002F5205">
        <w:rPr>
          <w:rFonts w:cs="Arial"/>
          <w:lang w:eastAsia="ar-SA"/>
        </w:rPr>
        <w:t xml:space="preserve"> </w:t>
      </w:r>
      <w:r w:rsidR="002F5205">
        <w:rPr>
          <w:rFonts w:cs="Arial"/>
          <w:lang w:eastAsia="ar-SA"/>
        </w:rPr>
        <w:t>na próbie realizowanych</w:t>
      </w:r>
      <w:r w:rsidR="002F5205" w:rsidRPr="0057187F">
        <w:rPr>
          <w:rFonts w:cs="Arial"/>
          <w:lang w:eastAsia="ar-SA"/>
        </w:rPr>
        <w:t xml:space="preserve"> </w:t>
      </w:r>
      <w:r w:rsidRPr="0057187F">
        <w:rPr>
          <w:rFonts w:cs="Arial"/>
          <w:lang w:eastAsia="ar-SA"/>
        </w:rPr>
        <w:t>projektów</w:t>
      </w:r>
      <w:r w:rsidR="002F5205">
        <w:rPr>
          <w:rFonts w:cs="Arial"/>
          <w:lang w:eastAsia="ar-SA"/>
        </w:rPr>
        <w:t xml:space="preserve"> </w:t>
      </w:r>
      <w:r w:rsidRPr="0057187F">
        <w:rPr>
          <w:rFonts w:cs="Arial"/>
          <w:lang w:eastAsia="ar-SA"/>
        </w:rPr>
        <w:t xml:space="preserve">(w trakcie lub po </w:t>
      </w:r>
      <w:r w:rsidR="002F5205">
        <w:rPr>
          <w:rFonts w:cs="Arial"/>
          <w:lang w:eastAsia="ar-SA"/>
        </w:rPr>
        <w:t xml:space="preserve">ich </w:t>
      </w:r>
      <w:r w:rsidRPr="0057187F">
        <w:rPr>
          <w:rFonts w:cs="Arial"/>
          <w:lang w:eastAsia="ar-SA"/>
        </w:rPr>
        <w:t xml:space="preserve">zakończeniu). Liczba i rodzaj projektów </w:t>
      </w:r>
      <w:r w:rsidR="002F5205">
        <w:rPr>
          <w:rFonts w:cs="Arial"/>
          <w:lang w:eastAsia="ar-SA"/>
        </w:rPr>
        <w:t xml:space="preserve">wybranych do </w:t>
      </w:r>
      <w:r w:rsidRPr="0057187F">
        <w:rPr>
          <w:rFonts w:cs="Arial"/>
          <w:lang w:eastAsia="ar-SA"/>
        </w:rPr>
        <w:t>weryfikacji zależy od decyzji IZ.</w:t>
      </w:r>
    </w:p>
    <w:p w14:paraId="0C3D3913" w14:textId="77777777" w:rsidR="00A35625" w:rsidRDefault="00A35625" w:rsidP="0057187F">
      <w:pPr>
        <w:pStyle w:val="Nagwek1"/>
        <w:rPr>
          <w:rFonts w:cs="Arial"/>
        </w:rPr>
      </w:pPr>
      <w:bookmarkStart w:id="62" w:name="_Toc98761665"/>
      <w:bookmarkStart w:id="63" w:name="_Toc98934370"/>
      <w:bookmarkStart w:id="64" w:name="_Toc108787460"/>
      <w:bookmarkEnd w:id="34"/>
    </w:p>
    <w:p w14:paraId="26758F63" w14:textId="2C9C88EA" w:rsidR="001D6AF8" w:rsidRPr="0057187F" w:rsidRDefault="001D6AF8" w:rsidP="0057187F">
      <w:pPr>
        <w:pStyle w:val="Nagwek1"/>
        <w:rPr>
          <w:rFonts w:cs="Arial"/>
        </w:rPr>
      </w:pPr>
      <w:r w:rsidRPr="0057187F">
        <w:rPr>
          <w:rFonts w:cs="Arial"/>
        </w:rPr>
        <w:t>Załączniki</w:t>
      </w:r>
      <w:bookmarkEnd w:id="62"/>
      <w:bookmarkEnd w:id="63"/>
      <w:bookmarkEnd w:id="64"/>
    </w:p>
    <w:p w14:paraId="267DE7AC" w14:textId="23C34CFE" w:rsidR="003544EC" w:rsidRPr="00665E9F" w:rsidRDefault="003544EC" w:rsidP="003544EC">
      <w:pPr>
        <w:spacing w:before="120" w:after="120" w:line="360" w:lineRule="auto"/>
        <w:rPr>
          <w:rFonts w:cs="Arial"/>
          <w:kern w:val="28"/>
          <w:lang w:eastAsia="en-US"/>
        </w:rPr>
      </w:pPr>
      <w:r w:rsidRPr="00665E9F">
        <w:rPr>
          <w:rFonts w:cs="Arial"/>
          <w:kern w:val="28"/>
          <w:lang w:eastAsia="en-US"/>
        </w:rPr>
        <w:t xml:space="preserve">Załącznik nr 1 Standard minimum realizacji zasady równości kobiet i mężczyzn </w:t>
      </w:r>
      <w:r w:rsidR="00750B91">
        <w:rPr>
          <w:rFonts w:cs="Arial"/>
          <w:kern w:val="28"/>
          <w:lang w:eastAsia="en-US"/>
        </w:rPr>
        <w:br/>
      </w:r>
      <w:r w:rsidRPr="00665E9F">
        <w:rPr>
          <w:rFonts w:cs="Arial"/>
          <w:kern w:val="28"/>
          <w:lang w:eastAsia="en-US"/>
        </w:rPr>
        <w:t>w ramach projektów współfinansowanych z EFS+</w:t>
      </w:r>
      <w:r w:rsidR="00A35625">
        <w:rPr>
          <w:rFonts w:cs="Arial"/>
          <w:kern w:val="28"/>
          <w:lang w:eastAsia="en-US"/>
        </w:rPr>
        <w:t>.</w:t>
      </w:r>
    </w:p>
    <w:p w14:paraId="472D7EF6" w14:textId="166D83DE" w:rsidR="003544EC" w:rsidRPr="00665E9F" w:rsidRDefault="003544EC" w:rsidP="003544EC">
      <w:pPr>
        <w:spacing w:before="120" w:after="120" w:line="360" w:lineRule="auto"/>
        <w:rPr>
          <w:rFonts w:cs="Arial"/>
          <w:kern w:val="28"/>
          <w:lang w:eastAsia="en-US"/>
        </w:rPr>
      </w:pPr>
      <w:r w:rsidRPr="00665E9F">
        <w:rPr>
          <w:rFonts w:cs="Arial"/>
          <w:kern w:val="28"/>
          <w:lang w:eastAsia="en-US"/>
        </w:rPr>
        <w:t>Załącznik nr 2 Standardy dostępności dla polityki spójności 2021-2027</w:t>
      </w:r>
      <w:r w:rsidR="00A35625">
        <w:rPr>
          <w:rFonts w:cs="Arial"/>
          <w:kern w:val="28"/>
          <w:lang w:eastAsia="en-US"/>
        </w:rPr>
        <w:t>.</w:t>
      </w:r>
    </w:p>
    <w:p w14:paraId="376C762A" w14:textId="02689C17" w:rsidR="003544EC" w:rsidRPr="00665E9F" w:rsidRDefault="003544EC" w:rsidP="003544EC">
      <w:pPr>
        <w:spacing w:before="120" w:after="120" w:line="360" w:lineRule="auto"/>
        <w:rPr>
          <w:rFonts w:cs="Arial"/>
          <w:kern w:val="28"/>
          <w:lang w:eastAsia="en-US"/>
        </w:rPr>
      </w:pPr>
      <w:r w:rsidRPr="00665E9F">
        <w:rPr>
          <w:rFonts w:cs="Arial"/>
          <w:kern w:val="28"/>
          <w:lang w:eastAsia="en-US"/>
        </w:rPr>
        <w:t>Załącznik nr 3 Procedur</w:t>
      </w:r>
      <w:r w:rsidR="00F14155">
        <w:rPr>
          <w:rFonts w:cs="Arial"/>
          <w:kern w:val="28"/>
          <w:lang w:eastAsia="en-US"/>
        </w:rPr>
        <w:t>a</w:t>
      </w:r>
      <w:r w:rsidRPr="00665E9F">
        <w:rPr>
          <w:rFonts w:cs="Arial"/>
          <w:kern w:val="28"/>
          <w:lang w:eastAsia="en-US"/>
        </w:rPr>
        <w:t xml:space="preserve"> służąc</w:t>
      </w:r>
      <w:r w:rsidR="00F14155">
        <w:rPr>
          <w:rFonts w:cs="Arial"/>
          <w:kern w:val="28"/>
          <w:lang w:eastAsia="en-US"/>
        </w:rPr>
        <w:t>a</w:t>
      </w:r>
      <w:r w:rsidRPr="00665E9F">
        <w:rPr>
          <w:rFonts w:cs="Arial"/>
          <w:kern w:val="28"/>
          <w:lang w:eastAsia="en-US"/>
        </w:rPr>
        <w:t xml:space="preserve"> do włączania zapisów </w:t>
      </w:r>
      <w:r w:rsidR="00F80C1B">
        <w:rPr>
          <w:rFonts w:cs="Arial"/>
          <w:kern w:val="28"/>
          <w:lang w:eastAsia="en-US"/>
        </w:rPr>
        <w:t>KPON</w:t>
      </w:r>
      <w:r w:rsidRPr="00665E9F">
        <w:rPr>
          <w:rFonts w:cs="Arial"/>
          <w:kern w:val="28"/>
          <w:lang w:eastAsia="en-US"/>
        </w:rPr>
        <w:t xml:space="preserve"> do praktyki wdrażania programów</w:t>
      </w:r>
      <w:r w:rsidR="00A35625">
        <w:rPr>
          <w:rFonts w:cs="Arial"/>
          <w:kern w:val="28"/>
          <w:lang w:eastAsia="en-US"/>
        </w:rPr>
        <w:t>.</w:t>
      </w:r>
    </w:p>
    <w:p w14:paraId="38B0C896" w14:textId="0D524708" w:rsidR="00666693" w:rsidRDefault="00666693">
      <w:pPr>
        <w:rPr>
          <w:rFonts w:cs="Arial"/>
          <w:szCs w:val="20"/>
        </w:rPr>
      </w:pPr>
    </w:p>
    <w:sectPr w:rsidR="00666693" w:rsidSect="00DA067E">
      <w:footerReference w:type="even" r:id="rId10"/>
      <w:footerReference w:type="default" r:id="rId11"/>
      <w:footerReference w:type="first" r:id="rId12"/>
      <w:type w:val="continuous"/>
      <w:pgSz w:w="11906" w:h="16838" w:code="9"/>
      <w:pgMar w:top="1417" w:right="1417" w:bottom="141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D466" w14:textId="77777777" w:rsidR="0027674B" w:rsidRDefault="0027674B">
      <w:r>
        <w:separator/>
      </w:r>
    </w:p>
    <w:p w14:paraId="4065288B" w14:textId="77777777" w:rsidR="0027674B" w:rsidRDefault="0027674B"/>
    <w:p w14:paraId="03D12E06" w14:textId="77777777" w:rsidR="0027674B" w:rsidRDefault="0027674B" w:rsidP="008E1B26"/>
  </w:endnote>
  <w:endnote w:type="continuationSeparator" w:id="0">
    <w:p w14:paraId="31D7CA89" w14:textId="77777777" w:rsidR="0027674B" w:rsidRDefault="0027674B">
      <w:r>
        <w:continuationSeparator/>
      </w:r>
    </w:p>
    <w:p w14:paraId="3E81B4C6" w14:textId="77777777" w:rsidR="0027674B" w:rsidRDefault="0027674B"/>
    <w:p w14:paraId="1100E2F4" w14:textId="77777777" w:rsidR="0027674B" w:rsidRDefault="0027674B" w:rsidP="008E1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C133" w14:textId="648067A7" w:rsidR="00C9356A" w:rsidRDefault="00177D1F"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3C48E67" w14:textId="77777777" w:rsidR="00C9356A" w:rsidRDefault="0027674B">
    <w:pPr>
      <w:pStyle w:val="Stopka"/>
    </w:pPr>
  </w:p>
  <w:p w14:paraId="682511BE" w14:textId="77777777" w:rsidR="00A261F9" w:rsidRDefault="00A261F9"/>
  <w:p w14:paraId="04BDA025" w14:textId="77777777" w:rsidR="00A261F9" w:rsidRDefault="00A261F9"/>
  <w:p w14:paraId="466DA768" w14:textId="77777777" w:rsidR="00D314A3" w:rsidRDefault="00D314A3"/>
  <w:p w14:paraId="1DCB924E" w14:textId="77777777" w:rsidR="00D314A3" w:rsidRDefault="00D314A3" w:rsidP="008E1B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437216"/>
      <w:docPartObj>
        <w:docPartGallery w:val="Page Numbers (Bottom of Page)"/>
        <w:docPartUnique/>
      </w:docPartObj>
    </w:sdtPr>
    <w:sdtEndPr/>
    <w:sdtContent>
      <w:p w14:paraId="7742B8BE" w14:textId="7C1ED6CB" w:rsidR="00D314A3" w:rsidRDefault="007C533C" w:rsidP="00666693">
        <w:pPr>
          <w:pStyle w:val="Stopka"/>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AA3A" w14:textId="4458B522" w:rsidR="008E1B26" w:rsidRDefault="008E1B26">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BE5A" w14:textId="77777777" w:rsidR="0027674B" w:rsidRDefault="0027674B">
      <w:r>
        <w:separator/>
      </w:r>
    </w:p>
    <w:p w14:paraId="7E2D4680" w14:textId="77777777" w:rsidR="0027674B" w:rsidRDefault="0027674B"/>
    <w:p w14:paraId="29F6AB77" w14:textId="77777777" w:rsidR="0027674B" w:rsidRDefault="0027674B" w:rsidP="008E1B26"/>
  </w:footnote>
  <w:footnote w:type="continuationSeparator" w:id="0">
    <w:p w14:paraId="24A1F6AA" w14:textId="77777777" w:rsidR="0027674B" w:rsidRDefault="0027674B">
      <w:r>
        <w:continuationSeparator/>
      </w:r>
    </w:p>
    <w:p w14:paraId="7480A335" w14:textId="77777777" w:rsidR="0027674B" w:rsidRDefault="0027674B"/>
    <w:p w14:paraId="06022517" w14:textId="77777777" w:rsidR="0027674B" w:rsidRDefault="0027674B" w:rsidP="008E1B26"/>
  </w:footnote>
  <w:footnote w:id="1">
    <w:p w14:paraId="2511C7D8" w14:textId="1819C328" w:rsidR="00C86B2C" w:rsidRPr="0057187F" w:rsidRDefault="00C86B2C" w:rsidP="00BB3473">
      <w:pPr>
        <w:pStyle w:val="Tekstprzypisudolnego"/>
        <w:spacing w:before="100" w:beforeAutospacing="1" w:after="100" w:afterAutospacing="1" w:line="360" w:lineRule="auto"/>
        <w:rPr>
          <w:rFonts w:cs="Arial"/>
        </w:rPr>
      </w:pPr>
      <w:r w:rsidRPr="0057187F">
        <w:rPr>
          <w:rStyle w:val="Odwoanieprzypisudolnego"/>
          <w:rFonts w:cs="Arial"/>
        </w:rPr>
        <w:footnoteRef/>
      </w:r>
      <w:r w:rsidRPr="0057187F">
        <w:rPr>
          <w:rFonts w:cs="Arial"/>
        </w:rPr>
        <w:t xml:space="preserve"> W przypadku modernizacji dostępność dotyczy co najmniej tych elementów budynku, które były przedmiotem dofinansowania z funduszy unijnych.</w:t>
      </w:r>
    </w:p>
  </w:footnote>
  <w:footnote w:id="2">
    <w:p w14:paraId="030E121E" w14:textId="58B12674" w:rsidR="00C86B2C" w:rsidRPr="0057187F" w:rsidRDefault="00C86B2C" w:rsidP="00BB3473">
      <w:pPr>
        <w:pStyle w:val="Tekstprzypisudolnego"/>
        <w:spacing w:before="100" w:beforeAutospacing="1" w:after="100" w:afterAutospacing="1" w:line="360" w:lineRule="auto"/>
        <w:rPr>
          <w:rFonts w:cs="Arial"/>
        </w:rPr>
      </w:pPr>
      <w:r w:rsidRPr="0057187F">
        <w:rPr>
          <w:rStyle w:val="Odwoanieprzypisudolnego"/>
          <w:rFonts w:cs="Arial"/>
        </w:rPr>
        <w:footnoteRef/>
      </w:r>
      <w:r w:rsidRPr="0057187F">
        <w:rPr>
          <w:rFonts w:cs="Arial"/>
        </w:rPr>
        <w:t xml:space="preserve"> Pomiędzy obszarami wsparcia ze środków funduszy unijnych na poziomie kraju i regionów.</w:t>
      </w:r>
    </w:p>
  </w:footnote>
  <w:footnote w:id="3">
    <w:p w14:paraId="67A1D909" w14:textId="77777777" w:rsidR="00C86B2C" w:rsidRPr="0057187F" w:rsidRDefault="00C86B2C" w:rsidP="00BB3473">
      <w:pPr>
        <w:pStyle w:val="Tekstprzypisudolnego"/>
        <w:spacing w:after="100" w:afterAutospacing="1" w:line="360" w:lineRule="auto"/>
        <w:rPr>
          <w:rFonts w:cs="Arial"/>
        </w:rPr>
      </w:pPr>
      <w:r w:rsidRPr="0057187F">
        <w:rPr>
          <w:rStyle w:val="Odwoanieprzypisudolnego"/>
          <w:rFonts w:cs="Arial"/>
        </w:rPr>
        <w:footnoteRef/>
      </w:r>
      <w:r w:rsidRPr="0057187F">
        <w:rPr>
          <w:rFonts w:cs="Arial"/>
        </w:rPr>
        <w:t xml:space="preserve"> Strategia na rzecz Osób z Niepełnosprawnościami 2021-2030 została przyjęta uchwałą nr 27 Rady Ministrów z dnia 16 lutego 2021 r. w sprawie przyjęcia dokumentu Strategia na rzecz Osób z Niepełnosprawnościami 2021–2030 (M.P. poz. 218).</w:t>
      </w:r>
    </w:p>
  </w:footnote>
  <w:footnote w:id="4">
    <w:p w14:paraId="47102674" w14:textId="77777777" w:rsidR="00C86B2C" w:rsidRPr="0057187F" w:rsidRDefault="00C86B2C" w:rsidP="00BB3473">
      <w:pPr>
        <w:pStyle w:val="Tekstprzypisudolnego"/>
        <w:spacing w:before="100" w:beforeAutospacing="1" w:after="100" w:afterAutospacing="1" w:line="360" w:lineRule="auto"/>
        <w:rPr>
          <w:rFonts w:cs="Arial"/>
        </w:rPr>
      </w:pPr>
      <w:r w:rsidRPr="0057187F">
        <w:rPr>
          <w:rStyle w:val="Odwoanieprzypisudolnego"/>
          <w:rFonts w:cs="Arial"/>
        </w:rPr>
        <w:footnoteRef/>
      </w:r>
      <w:r w:rsidRPr="0057187F">
        <w:rPr>
          <w:rFonts w:cs="Arial"/>
        </w:rPr>
        <w:t xml:space="preserve"> </w:t>
      </w:r>
      <w:r w:rsidRPr="0057187F">
        <w:rPr>
          <w:rFonts w:cs="Arial"/>
          <w:bCs/>
        </w:rPr>
        <w:t>W przypadku programów Interreg zarządzanych przez Polskę, pełna realizacja wytycznych jest uzależniona od uzyskania zgody państw członkowskich uczestniczących w tych programach.</w:t>
      </w:r>
    </w:p>
  </w:footnote>
  <w:footnote w:id="5">
    <w:p w14:paraId="51A01777" w14:textId="449D6C1F" w:rsidR="00C86B2C" w:rsidRPr="0057187F" w:rsidRDefault="00C86B2C" w:rsidP="00BB3473">
      <w:pPr>
        <w:pStyle w:val="Tekstprzypisudolnego"/>
        <w:spacing w:before="100" w:beforeAutospacing="1" w:after="100" w:afterAutospacing="1" w:line="360" w:lineRule="auto"/>
        <w:rPr>
          <w:rFonts w:cs="Arial"/>
        </w:rPr>
      </w:pPr>
      <w:r w:rsidRPr="0057187F">
        <w:rPr>
          <w:rStyle w:val="Odwoanieprzypisudolnego"/>
          <w:rFonts w:cs="Arial"/>
        </w:rPr>
        <w:footnoteRef/>
      </w:r>
      <w:r w:rsidRPr="0057187F">
        <w:rPr>
          <w:rFonts w:cs="Arial"/>
        </w:rPr>
        <w:t xml:space="preserve"> Zgodnie z definicją określoną w ustawie z 19 lipca 2019 r. o zapewnianiu dostępności osobom ze szczególnymi potrzebami.</w:t>
      </w:r>
    </w:p>
  </w:footnote>
  <w:footnote w:id="6">
    <w:p w14:paraId="73CF9170" w14:textId="77777777" w:rsidR="001D2311" w:rsidRPr="0057187F" w:rsidRDefault="001D2311" w:rsidP="0057187F">
      <w:pPr>
        <w:pStyle w:val="Tekstprzypisudolnego"/>
        <w:spacing w:beforeLines="120" w:before="288" w:afterLines="120" w:after="288" w:line="360" w:lineRule="auto"/>
        <w:rPr>
          <w:rFonts w:cs="Arial"/>
        </w:rPr>
      </w:pPr>
      <w:r w:rsidRPr="0057187F">
        <w:rPr>
          <w:rStyle w:val="Odwoanieprzypisudolnego"/>
          <w:rFonts w:cs="Arial"/>
        </w:rPr>
        <w:footnoteRef/>
      </w:r>
      <w:r w:rsidRPr="0057187F">
        <w:rPr>
          <w:rFonts w:cs="Arial"/>
        </w:rPr>
        <w:t xml:space="preserve"> Zgodnie z art. 4 pkt 1 ustawy z dnia 11 września 2015 r. o osobach starszych (Dz. U. poz. 1705) osoba starsza to osoba, która ukończyła 60. rok życia. </w:t>
      </w:r>
    </w:p>
  </w:footnote>
  <w:footnote w:id="7">
    <w:p w14:paraId="7D0B59B7" w14:textId="77777777" w:rsidR="001D2311" w:rsidRPr="0057187F" w:rsidRDefault="001D2311" w:rsidP="0057187F">
      <w:pPr>
        <w:pStyle w:val="Tekstprzypisudolnego"/>
        <w:spacing w:beforeLines="120" w:before="288" w:afterLines="120" w:after="288" w:line="360" w:lineRule="auto"/>
        <w:rPr>
          <w:rFonts w:cs="Arial"/>
        </w:rPr>
      </w:pPr>
      <w:r w:rsidRPr="0057187F">
        <w:rPr>
          <w:rStyle w:val="Odwoanieprzypisudolnego"/>
          <w:rFonts w:cs="Arial"/>
        </w:rPr>
        <w:footnoteRef/>
      </w:r>
      <w:r w:rsidRPr="0057187F">
        <w:rPr>
          <w:rFonts w:cs="Arial"/>
        </w:rPr>
        <w:t xml:space="preserve"> Zgodnie z wytycznymi dotyczącymi realizacji przedsięwzięć z udziałem środków Europejskiego Funduszu Społecznego Plus na lata 2021-2027.</w:t>
      </w:r>
    </w:p>
  </w:footnote>
  <w:footnote w:id="8">
    <w:p w14:paraId="6B90C9F2" w14:textId="01470550" w:rsidR="001D2311" w:rsidRPr="0057187F" w:rsidRDefault="001D2311" w:rsidP="0057187F">
      <w:pPr>
        <w:pStyle w:val="Tekstprzypisudolnego"/>
        <w:spacing w:beforeLines="120" w:before="288" w:afterLines="120" w:after="288" w:line="360" w:lineRule="auto"/>
        <w:rPr>
          <w:rFonts w:cs="Arial"/>
        </w:rPr>
      </w:pPr>
      <w:r w:rsidRPr="0057187F">
        <w:rPr>
          <w:rStyle w:val="Odwoanieprzypisudolnego"/>
          <w:rFonts w:cs="Arial"/>
        </w:rPr>
        <w:footnoteRef/>
      </w:r>
      <w:r w:rsidRPr="0057187F">
        <w:rPr>
          <w:rFonts w:cs="Arial"/>
        </w:rPr>
        <w:t xml:space="preserve"> </w:t>
      </w:r>
      <w:r w:rsidR="0053487E">
        <w:rPr>
          <w:rFonts w:cs="Arial"/>
        </w:rPr>
        <w:t>S</w:t>
      </w:r>
      <w:r w:rsidR="0053487E" w:rsidRPr="0053487E">
        <w:rPr>
          <w:rFonts w:cs="Arial"/>
        </w:rPr>
        <w:t>tron</w:t>
      </w:r>
      <w:r w:rsidR="0053487E">
        <w:rPr>
          <w:rFonts w:cs="Arial"/>
        </w:rPr>
        <w:t>a</w:t>
      </w:r>
      <w:r w:rsidR="0053487E" w:rsidRPr="0053487E">
        <w:rPr>
          <w:rFonts w:cs="Arial"/>
        </w:rPr>
        <w:t xml:space="preserve"> Biura Pełnomocnika Rządu ds. Osób</w:t>
      </w:r>
      <w:r w:rsidR="0053487E">
        <w:rPr>
          <w:rFonts w:cs="Arial"/>
        </w:rPr>
        <w:t xml:space="preserve"> </w:t>
      </w:r>
      <w:r w:rsidR="0053487E" w:rsidRPr="0053487E">
        <w:rPr>
          <w:rFonts w:cs="Arial"/>
        </w:rPr>
        <w:t>Niepełnosprawnych:</w:t>
      </w:r>
      <w:r w:rsidR="0053487E">
        <w:rPr>
          <w:rFonts w:cs="Arial"/>
        </w:rPr>
        <w:t xml:space="preserve"> </w:t>
      </w:r>
      <w:hyperlink r:id="rId1" w:history="1">
        <w:r w:rsidR="007C6865" w:rsidRPr="001A006A">
          <w:rPr>
            <w:rStyle w:val="Hipercze"/>
            <w:rFonts w:cs="Arial"/>
          </w:rPr>
          <w:t>https://niepelnosprawni.gov.pl/p,81,BAEL</w:t>
        </w:r>
      </w:hyperlink>
      <w:r w:rsidR="007C6865">
        <w:rPr>
          <w:rFonts w:cs="Arial"/>
        </w:rPr>
        <w:t xml:space="preserve"> </w:t>
      </w:r>
    </w:p>
  </w:footnote>
  <w:footnote w:id="9">
    <w:p w14:paraId="48F80A8B" w14:textId="04947B72" w:rsidR="00537277" w:rsidRDefault="00537277" w:rsidP="00DA067E">
      <w:pPr>
        <w:pStyle w:val="Tekstprzypisudolnego"/>
        <w:spacing w:line="360" w:lineRule="auto"/>
      </w:pPr>
      <w:r>
        <w:rPr>
          <w:rStyle w:val="Odwoanieprzypisudolnego"/>
        </w:rPr>
        <w:footnoteRef/>
      </w:r>
      <w:r>
        <w:t xml:space="preserve"> </w:t>
      </w:r>
      <w:hyperlink r:id="rId2" w:history="1">
        <w:r w:rsidR="007C6865" w:rsidRPr="001A006A">
          <w:rPr>
            <w:rStyle w:val="Hipercze"/>
          </w:rPr>
          <w:t>www.brpo.gov.pl</w:t>
        </w:r>
      </w:hyperlink>
      <w:r w:rsidR="007C6865">
        <w:t xml:space="preserve"> </w:t>
      </w:r>
    </w:p>
    <w:p w14:paraId="4F508620" w14:textId="77777777" w:rsidR="007C6865" w:rsidRDefault="007C6865" w:rsidP="00DA067E">
      <w:pPr>
        <w:pStyle w:val="Tekstprzypisudolnego"/>
        <w:spacing w:line="360" w:lineRule="auto"/>
      </w:pPr>
    </w:p>
  </w:footnote>
  <w:footnote w:id="10">
    <w:p w14:paraId="538CFB4C" w14:textId="11CFF2E3" w:rsidR="0057071A" w:rsidRDefault="0057071A" w:rsidP="00DA067E">
      <w:pPr>
        <w:pStyle w:val="Tekstprzypisudolnego"/>
        <w:spacing w:line="360" w:lineRule="auto"/>
      </w:pPr>
      <w:r>
        <w:rPr>
          <w:rStyle w:val="Odwoanieprzypisudolnego"/>
        </w:rPr>
        <w:footnoteRef/>
      </w:r>
      <w:r>
        <w:t xml:space="preserve"> </w:t>
      </w:r>
      <w:r w:rsidR="00D85F91">
        <w:t xml:space="preserve">Rządowy </w:t>
      </w:r>
      <w:r>
        <w:t>Program Dostępność Plus</w:t>
      </w:r>
      <w:r w:rsidR="00D85F91">
        <w:t xml:space="preserve"> 2018-2025</w:t>
      </w:r>
      <w:r w:rsidR="00F14155">
        <w:t>.</w:t>
      </w:r>
    </w:p>
  </w:footnote>
  <w:footnote w:id="11">
    <w:p w14:paraId="2CA02693" w14:textId="43E49A1E" w:rsidR="001D2311" w:rsidRPr="007C6865" w:rsidRDefault="001D2311" w:rsidP="0057187F">
      <w:pPr>
        <w:pStyle w:val="Tekstprzypisudolnego"/>
        <w:spacing w:beforeLines="120" w:before="288" w:afterLines="120" w:after="288" w:line="360" w:lineRule="auto"/>
        <w:rPr>
          <w:rFonts w:cs="Arial"/>
        </w:rPr>
      </w:pPr>
      <w:r w:rsidRPr="0057187F">
        <w:rPr>
          <w:rStyle w:val="Odwoanieprzypisudolnego"/>
          <w:rFonts w:cs="Arial"/>
        </w:rPr>
        <w:footnoteRef/>
      </w:r>
      <w:r w:rsidRPr="0057187F">
        <w:rPr>
          <w:rFonts w:cs="Arial"/>
        </w:rPr>
        <w:t xml:space="preserve"> Kontrola NIK z grudnia 2018 r. pt.: „Dostępność zmodernizowanych obiektów kolejowych dla pasażerów niepełnosprawnych lub o ograniczonej zdolności poruszania się”, </w:t>
      </w:r>
      <w:hyperlink r:id="rId3" w:history="1">
        <w:r w:rsidR="0057187F" w:rsidRPr="007C6865">
          <w:rPr>
            <w:rStyle w:val="Hipercze"/>
          </w:rPr>
          <w:t>https://www.nik.gov.pl/plik/id,19577,vp,22188.pdf</w:t>
        </w:r>
      </w:hyperlink>
      <w:r w:rsidR="007C6865" w:rsidRPr="007C6865">
        <w:rPr>
          <w:rFonts w:cs="Arial"/>
          <w:color w:val="00B0F0"/>
        </w:rPr>
        <w:t xml:space="preserve"> </w:t>
      </w:r>
    </w:p>
  </w:footnote>
  <w:footnote w:id="12">
    <w:p w14:paraId="53DD8AD7" w14:textId="71A5987F" w:rsidR="00BA2882" w:rsidRDefault="00BA2882" w:rsidP="007C6865">
      <w:pPr>
        <w:pStyle w:val="Tekstprzypisudolnego"/>
        <w:spacing w:line="360" w:lineRule="auto"/>
      </w:pPr>
      <w:r>
        <w:rPr>
          <w:rStyle w:val="Odwoanieprzypisudolnego"/>
        </w:rPr>
        <w:footnoteRef/>
      </w:r>
      <w:r>
        <w:t xml:space="preserve"> </w:t>
      </w:r>
      <w:r w:rsidRPr="00BA2882">
        <w:t>V Raport z realizacji postanowień Konwencji Ramowej o Ochronie Mniejszości Narodowych i Etnicznych</w:t>
      </w:r>
      <w:r w:rsidR="00F14155">
        <w:t>.</w:t>
      </w:r>
    </w:p>
    <w:p w14:paraId="5DB3D5FB" w14:textId="77777777" w:rsidR="00DE74DD" w:rsidRDefault="00DE74DD" w:rsidP="007C6865">
      <w:pPr>
        <w:pStyle w:val="Tekstprzypisudolnego"/>
        <w:spacing w:line="360" w:lineRule="auto"/>
      </w:pPr>
    </w:p>
  </w:footnote>
  <w:footnote w:id="13">
    <w:p w14:paraId="381E98FB" w14:textId="182E5AD5" w:rsidR="00BA2882" w:rsidRDefault="00BA2882" w:rsidP="007C6865">
      <w:pPr>
        <w:pStyle w:val="Tekstprzypisudolnego"/>
        <w:spacing w:line="360" w:lineRule="auto"/>
      </w:pPr>
      <w:r>
        <w:rPr>
          <w:rStyle w:val="Odwoanieprzypisudolnego"/>
        </w:rPr>
        <w:footnoteRef/>
      </w:r>
      <w:r>
        <w:t xml:space="preserve"> </w:t>
      </w:r>
      <w:hyperlink r:id="rId4" w:history="1">
        <w:r w:rsidRPr="00BD656F">
          <w:rPr>
            <w:rStyle w:val="Hipercze"/>
          </w:rPr>
          <w:t>https://www.gov.pl/web/mniejszosci-narodowe-i-etniczne/romowie</w:t>
        </w:r>
      </w:hyperlink>
      <w:r w:rsidR="00F14155">
        <w:t>.</w:t>
      </w:r>
    </w:p>
  </w:footnote>
  <w:footnote w:id="14">
    <w:p w14:paraId="3D5216C3" w14:textId="6FE9903B" w:rsidR="00BA2882" w:rsidRDefault="00BA2882" w:rsidP="007C6865">
      <w:pPr>
        <w:pStyle w:val="Tekstprzypisudolnego"/>
        <w:spacing w:line="360" w:lineRule="auto"/>
      </w:pPr>
      <w:r>
        <w:rPr>
          <w:rStyle w:val="Odwoanieprzypisudolnego"/>
        </w:rPr>
        <w:footnoteRef/>
      </w:r>
      <w:r>
        <w:t xml:space="preserve"> </w:t>
      </w:r>
      <w:hyperlink r:id="rId5" w:history="1">
        <w:r w:rsidRPr="00BA2882">
          <w:rPr>
            <w:rStyle w:val="Hipercze"/>
          </w:rPr>
          <w:t>Cyganie/Romowie w Polsce i w Europie: wybrane problemy historii i współczesności</w:t>
        </w:r>
      </w:hyperlink>
      <w:r w:rsidRPr="00BA2882">
        <w:t>, Kancelaria Sejmu, Biuro Analiz i Dokumentacji</w:t>
      </w:r>
      <w:r w:rsidR="00F14155">
        <w:t>.</w:t>
      </w:r>
    </w:p>
    <w:p w14:paraId="7B567CC0" w14:textId="77777777" w:rsidR="00DE74DD" w:rsidRDefault="00DE74DD">
      <w:pPr>
        <w:pStyle w:val="Tekstprzypisudolnego"/>
      </w:pPr>
    </w:p>
  </w:footnote>
  <w:footnote w:id="15">
    <w:p w14:paraId="5F4129EB" w14:textId="75DE6585" w:rsidR="00BA2882" w:rsidRDefault="00BA2882" w:rsidP="007C6865">
      <w:pPr>
        <w:pStyle w:val="Tekstprzypisudolnego"/>
        <w:spacing w:line="360" w:lineRule="auto"/>
      </w:pPr>
      <w:r>
        <w:rPr>
          <w:rStyle w:val="Odwoanieprzypisudolnego"/>
        </w:rPr>
        <w:footnoteRef/>
      </w:r>
      <w:r>
        <w:t xml:space="preserve"> </w:t>
      </w:r>
      <w:hyperlink r:id="rId6" w:history="1">
        <w:r w:rsidRPr="00BA2882">
          <w:rPr>
            <w:rStyle w:val="Hipercze"/>
          </w:rPr>
          <w:t>Sytuacja życiowa i ekonomiczna uchodźców z Ukrainy w Polsce</w:t>
        </w:r>
      </w:hyperlink>
      <w:r w:rsidRPr="00BA2882">
        <w:t>, Raport z badania ankietowego zrealizowanego przez OO NBP</w:t>
      </w:r>
      <w:r w:rsidR="00F14155">
        <w:t>.</w:t>
      </w:r>
    </w:p>
  </w:footnote>
  <w:footnote w:id="16">
    <w:p w14:paraId="6B6DFC77" w14:textId="01E3B440" w:rsidR="00B42400" w:rsidRDefault="00B42400">
      <w:pPr>
        <w:pStyle w:val="Tekstprzypisudolnego"/>
      </w:pPr>
      <w:r>
        <w:rPr>
          <w:rStyle w:val="Odwoanieprzypisudolnego"/>
        </w:rPr>
        <w:footnoteRef/>
      </w:r>
      <w:r>
        <w:t xml:space="preserve"> Informacja o rynku pracy w III kwartale 2021 r, GUS, 20.12.2021.</w:t>
      </w:r>
    </w:p>
    <w:p w14:paraId="1786A13E" w14:textId="77777777" w:rsidR="0031015E" w:rsidRDefault="0031015E">
      <w:pPr>
        <w:pStyle w:val="Tekstprzypisudolnego"/>
      </w:pPr>
    </w:p>
  </w:footnote>
  <w:footnote w:id="17">
    <w:p w14:paraId="3391D0C4" w14:textId="455F58CC" w:rsidR="00B42400" w:rsidRDefault="00B42400">
      <w:pPr>
        <w:pStyle w:val="Tekstprzypisudolnego"/>
      </w:pPr>
      <w:r>
        <w:rPr>
          <w:rStyle w:val="Odwoanieprzypisudolnego"/>
        </w:rPr>
        <w:footnoteRef/>
      </w:r>
      <w:r>
        <w:t xml:space="preserve"> Różnice w wynagrodzeniach kobiet i mężczyzn w Polsce w 2020, GUS, Bydgoszcz 2022</w:t>
      </w:r>
      <w:r w:rsidR="00F14155">
        <w:t>.</w:t>
      </w:r>
    </w:p>
    <w:p w14:paraId="32D6B199" w14:textId="77777777" w:rsidR="0031015E" w:rsidRDefault="0031015E">
      <w:pPr>
        <w:pStyle w:val="Tekstprzypisudolnego"/>
      </w:pPr>
    </w:p>
  </w:footnote>
  <w:footnote w:id="18">
    <w:p w14:paraId="20A4126D" w14:textId="71680907" w:rsidR="00B42400" w:rsidRDefault="00B42400" w:rsidP="007C6865">
      <w:pPr>
        <w:pStyle w:val="Tekstprzypisudolnego"/>
        <w:spacing w:line="360" w:lineRule="auto"/>
      </w:pPr>
      <w:r>
        <w:rPr>
          <w:rStyle w:val="Odwoanieprzypisudolnego"/>
        </w:rPr>
        <w:footnoteRef/>
      </w:r>
      <w:r>
        <w:t xml:space="preserve"> Struktura wysokości świadczeń wypłacanych przez ZUS po waloryzacji w marcu 2021, ZUS, Warszawa 2021.</w:t>
      </w:r>
    </w:p>
    <w:p w14:paraId="3F2F5890" w14:textId="77777777" w:rsidR="0031015E" w:rsidRDefault="0031015E">
      <w:pPr>
        <w:pStyle w:val="Tekstprzypisudolnego"/>
      </w:pPr>
    </w:p>
  </w:footnote>
  <w:footnote w:id="19">
    <w:p w14:paraId="30159EC3" w14:textId="473F13C1" w:rsidR="00621CAE" w:rsidRDefault="00621CAE">
      <w:pPr>
        <w:pStyle w:val="Tekstprzypisudolnego"/>
      </w:pPr>
      <w:r>
        <w:rPr>
          <w:rStyle w:val="Odwoanieprzypisudolnego"/>
        </w:rPr>
        <w:footnoteRef/>
      </w:r>
      <w:r>
        <w:t xml:space="preserve"> Ubóstwo w Polsce w latach 2019 i 2020, GUS, Warszawa 2021.</w:t>
      </w:r>
    </w:p>
  </w:footnote>
  <w:footnote w:id="20">
    <w:p w14:paraId="47CAD0FC" w14:textId="16657271" w:rsidR="00E85C8E" w:rsidRDefault="00E85C8E">
      <w:pPr>
        <w:pStyle w:val="Tekstprzypisudolnego"/>
      </w:pPr>
      <w:r>
        <w:rPr>
          <w:rStyle w:val="Odwoanieprzypisudolnego"/>
        </w:rPr>
        <w:footnoteRef/>
      </w:r>
      <w:r>
        <w:t xml:space="preserve"> Zarządzanie dzielone, oznacza wdrażanie funduszy UE wspólnie z państwami członkowskimi.</w:t>
      </w:r>
    </w:p>
    <w:p w14:paraId="4CE422A1" w14:textId="77777777" w:rsidR="0031015E" w:rsidRDefault="0031015E">
      <w:pPr>
        <w:pStyle w:val="Tekstprzypisudolnego"/>
      </w:pPr>
    </w:p>
  </w:footnote>
  <w:footnote w:id="21">
    <w:p w14:paraId="26997A26" w14:textId="7D409671" w:rsidR="00641BD0" w:rsidRDefault="00641BD0">
      <w:pPr>
        <w:pStyle w:val="Tekstprzypisudolnego"/>
      </w:pPr>
      <w:r>
        <w:rPr>
          <w:rStyle w:val="Odwoanieprzypisudolnego"/>
        </w:rPr>
        <w:footnoteRef/>
      </w:r>
      <w:r>
        <w:t xml:space="preserve"> </w:t>
      </w:r>
      <w:r w:rsidRPr="00641BD0">
        <w:t>Europejski</w:t>
      </w:r>
      <w:r>
        <w:t>ego</w:t>
      </w:r>
      <w:r w:rsidRPr="00641BD0">
        <w:t xml:space="preserve"> program</w:t>
      </w:r>
      <w:r>
        <w:t>u</w:t>
      </w:r>
      <w:r w:rsidRPr="00641BD0">
        <w:t xml:space="preserve"> na rzecz zatrudnienia i innowacji społecznych (EaSI)</w:t>
      </w:r>
      <w:r w:rsidR="00F14155">
        <w:t>.</w:t>
      </w:r>
    </w:p>
  </w:footnote>
  <w:footnote w:id="22">
    <w:p w14:paraId="61C31EEB" w14:textId="77777777" w:rsidR="001D2311" w:rsidRPr="0057187F" w:rsidRDefault="001D2311" w:rsidP="0057187F">
      <w:pPr>
        <w:pStyle w:val="Tekstprzypisudolnego"/>
        <w:spacing w:beforeLines="120" w:before="288" w:afterLines="120" w:after="288" w:line="360" w:lineRule="auto"/>
        <w:rPr>
          <w:rFonts w:cs="Arial"/>
        </w:rPr>
      </w:pPr>
      <w:r w:rsidRPr="0057187F">
        <w:rPr>
          <w:rStyle w:val="Odwoanieprzypisudolnego"/>
          <w:rFonts w:cs="Arial"/>
        </w:rPr>
        <w:footnoteRef/>
      </w:r>
      <w:r w:rsidRPr="0057187F">
        <w:rPr>
          <w:rFonts w:cs="Arial"/>
        </w:rPr>
        <w:t xml:space="preserve"> Nie dotyczy projektów pomocy technicznej.</w:t>
      </w:r>
    </w:p>
  </w:footnote>
  <w:footnote w:id="23">
    <w:p w14:paraId="3E24E29A" w14:textId="6E609296" w:rsidR="00F14155" w:rsidRDefault="00F14155" w:rsidP="007C6865">
      <w:pPr>
        <w:pStyle w:val="Tekstprzypisudolnego"/>
        <w:spacing w:line="360" w:lineRule="auto"/>
      </w:pPr>
      <w:r>
        <w:rPr>
          <w:rStyle w:val="Odwoanieprzypisudolnego"/>
        </w:rPr>
        <w:footnoteRef/>
      </w:r>
      <w:r>
        <w:t xml:space="preserve"> </w:t>
      </w:r>
      <w:r w:rsidRPr="00F14155">
        <w:t>W przypadku modernizacji dostępność dotyczy tych elementów budynku, które były przedmiotem finansowania z funduszy unijnych.</w:t>
      </w:r>
    </w:p>
  </w:footnote>
  <w:footnote w:id="24">
    <w:p w14:paraId="51918B75" w14:textId="77777777" w:rsidR="001D2311" w:rsidRPr="00DA067E" w:rsidRDefault="001D2311" w:rsidP="0057187F">
      <w:pPr>
        <w:pStyle w:val="Tekstprzypisudolnego"/>
        <w:spacing w:beforeLines="120" w:before="288" w:afterLines="120" w:after="288" w:line="360" w:lineRule="auto"/>
        <w:rPr>
          <w:rStyle w:val="markedcontent"/>
          <w:rFonts w:cs="Arial"/>
        </w:rPr>
      </w:pPr>
      <w:r w:rsidRPr="00DA067E">
        <w:rPr>
          <w:rStyle w:val="markedcontent"/>
          <w:rFonts w:cs="Arial"/>
          <w:sz w:val="16"/>
          <w:szCs w:val="16"/>
        </w:rPr>
        <w:footnoteRef/>
      </w:r>
      <w:r w:rsidRPr="007B3300">
        <w:rPr>
          <w:rStyle w:val="markedcontent"/>
          <w:rFonts w:cs="Arial"/>
        </w:rPr>
        <w:t xml:space="preserve">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25">
    <w:p w14:paraId="579FEF47" w14:textId="77777777" w:rsidR="001D2311" w:rsidRPr="007B3300" w:rsidRDefault="001D2311" w:rsidP="0057187F">
      <w:pPr>
        <w:pStyle w:val="Tekstprzypisudolnego"/>
        <w:spacing w:beforeLines="120" w:before="288" w:afterLines="120" w:after="288" w:line="360" w:lineRule="auto"/>
        <w:rPr>
          <w:rStyle w:val="markedcontent"/>
          <w:rFonts w:cs="Arial"/>
        </w:rPr>
      </w:pPr>
      <w:r w:rsidRPr="007B3300">
        <w:rPr>
          <w:rStyle w:val="markedcontent"/>
          <w:rFonts w:cs="Arial"/>
          <w:vertAlign w:val="superscript"/>
        </w:rPr>
        <w:footnoteRef/>
      </w:r>
      <w:r w:rsidRPr="007B3300">
        <w:rPr>
          <w:rStyle w:val="markedcontent"/>
          <w:rFonts w:cs="Arial"/>
        </w:rPr>
        <w:t xml:space="preserve"> Rozbudowa to powiększenie, rozszerzenie budowli, obszaru już zabudowanego, dobudowywanie nowych elementów.</w:t>
      </w:r>
    </w:p>
  </w:footnote>
  <w:footnote w:id="26">
    <w:p w14:paraId="2DAB6696" w14:textId="3B93DF71" w:rsidR="001D2311" w:rsidRPr="007B3300" w:rsidRDefault="001D2311" w:rsidP="0057187F">
      <w:pPr>
        <w:pStyle w:val="Tekstprzypisudolnego"/>
        <w:spacing w:beforeLines="120" w:before="288" w:afterLines="120" w:after="288" w:line="360" w:lineRule="auto"/>
        <w:rPr>
          <w:rStyle w:val="markedcontent"/>
          <w:rFonts w:cs="Arial"/>
        </w:rPr>
      </w:pPr>
      <w:r w:rsidRPr="007B3300">
        <w:rPr>
          <w:rStyle w:val="markedcontent"/>
          <w:rFonts w:cs="Arial"/>
          <w:vertAlign w:val="superscript"/>
        </w:rPr>
        <w:footnoteRef/>
      </w:r>
      <w:r w:rsidRPr="007B3300">
        <w:rPr>
          <w:rStyle w:val="markedcontent"/>
          <w:rFonts w:cs="Arial"/>
        </w:rPr>
        <w:t xml:space="preserve"> W przypadku modernizacji dostępność dotyczy tych elementów budynku, które były przedmiotem finansowania z funduszy unijnych.</w:t>
      </w:r>
    </w:p>
  </w:footnote>
  <w:footnote w:id="27">
    <w:p w14:paraId="65F236A7" w14:textId="40CB5296" w:rsidR="00DB41F8" w:rsidRDefault="00DB41F8" w:rsidP="00DA067E">
      <w:pPr>
        <w:pStyle w:val="Tekstprzypisudolnego"/>
        <w:spacing w:line="360" w:lineRule="auto"/>
      </w:pPr>
      <w:r>
        <w:rPr>
          <w:rStyle w:val="Odwoanieprzypisudolnego"/>
        </w:rPr>
        <w:footnoteRef/>
      </w:r>
      <w:r>
        <w:t xml:space="preserve"> N</w:t>
      </w:r>
      <w:r w:rsidRPr="00DB41F8">
        <w:t>p. wymagając od beneficjenta przedstawienia opisu dostępności planowanej inwestycji lub opinii podmiotów zewnętrznych, które potwierdzą w sposób obiektywny brak możliwości zastosowania określonego standardu dostępności.</w:t>
      </w:r>
    </w:p>
    <w:p w14:paraId="532C09BA" w14:textId="77777777" w:rsidR="00D917C6" w:rsidRDefault="00D917C6" w:rsidP="00DA067E">
      <w:pPr>
        <w:pStyle w:val="Tekstprzypisudolnego"/>
        <w:spacing w:line="360" w:lineRule="auto"/>
      </w:pPr>
    </w:p>
  </w:footnote>
  <w:footnote w:id="28">
    <w:p w14:paraId="3497D8DF" w14:textId="783FF99E" w:rsidR="00D917C6" w:rsidRDefault="00D917C6">
      <w:pPr>
        <w:pStyle w:val="Tekstprzypisudolnego"/>
      </w:pPr>
      <w:r>
        <w:rPr>
          <w:rStyle w:val="Odwoanieprzypisudolnego"/>
        </w:rPr>
        <w:footnoteRef/>
      </w:r>
      <w:r>
        <w:t xml:space="preserve"> </w:t>
      </w:r>
      <w:r w:rsidR="00F14155">
        <w:t>W</w:t>
      </w:r>
      <w:r w:rsidRPr="00D917C6">
        <w:t xml:space="preserve">ymienione w rozporządzeniu ogólnym </w:t>
      </w:r>
      <w:r w:rsidR="00297AF9">
        <w:t xml:space="preserve">i KPP </w:t>
      </w:r>
      <w:r w:rsidRPr="00D917C6">
        <w:t>w obszarze programu</w:t>
      </w:r>
      <w:r w:rsidR="00F14155">
        <w:t>.</w:t>
      </w:r>
    </w:p>
  </w:footnote>
  <w:footnote w:id="29">
    <w:p w14:paraId="1F2D9457" w14:textId="08ED7031" w:rsidR="00EB07EF" w:rsidRDefault="00EB07EF">
      <w:pPr>
        <w:pStyle w:val="Tekstprzypisudolnego"/>
      </w:pPr>
      <w:r>
        <w:rPr>
          <w:rStyle w:val="Odwoanieprzypisudolnego"/>
        </w:rPr>
        <w:footnoteRef/>
      </w:r>
      <w:r>
        <w:t xml:space="preserve"> T</w:t>
      </w:r>
      <w:r w:rsidRPr="00EB07EF">
        <w:t>ak</w:t>
      </w:r>
      <w:r>
        <w:t>a</w:t>
      </w:r>
      <w:r w:rsidRPr="00EB07EF">
        <w:t xml:space="preserve"> możliwoś</w:t>
      </w:r>
      <w:r>
        <w:t>ć istnieje również</w:t>
      </w:r>
      <w:r w:rsidRPr="00EB07EF">
        <w:t xml:space="preserve"> w programach finansowanych z innych funduszy niż EFS+.</w:t>
      </w:r>
    </w:p>
  </w:footnote>
  <w:footnote w:id="30">
    <w:p w14:paraId="41FFEFD2" w14:textId="77777777" w:rsidR="003D38E9" w:rsidRPr="0057187F" w:rsidRDefault="003D38E9" w:rsidP="003D38E9">
      <w:pPr>
        <w:pStyle w:val="Tekstprzypisudolnego"/>
        <w:spacing w:beforeLines="120" w:before="288" w:afterLines="120" w:after="288" w:line="360" w:lineRule="auto"/>
        <w:rPr>
          <w:rFonts w:cs="Arial"/>
        </w:rPr>
      </w:pPr>
      <w:r w:rsidRPr="0057187F">
        <w:rPr>
          <w:rStyle w:val="Odwoanieprzypisudolnego"/>
          <w:rFonts w:cs="Arial"/>
        </w:rPr>
        <w:footnoteRef/>
      </w:r>
      <w:r w:rsidRPr="0057187F">
        <w:rPr>
          <w:rFonts w:cs="Arial"/>
        </w:rPr>
        <w:t xml:space="preserve"> Z wyjątkiem sytuacji opisanej w pkt 2.</w:t>
      </w:r>
    </w:p>
  </w:footnote>
  <w:footnote w:id="31">
    <w:p w14:paraId="5E44ABEE" w14:textId="43B04A2E" w:rsidR="00BA2A3A" w:rsidRDefault="00BA2A3A" w:rsidP="00DA067E">
      <w:pPr>
        <w:pStyle w:val="Tekstprzypisudolnego"/>
        <w:spacing w:line="360" w:lineRule="auto"/>
      </w:pPr>
      <w:r>
        <w:rPr>
          <w:rStyle w:val="Odwoanieprzypisudolnego"/>
        </w:rPr>
        <w:footnoteRef/>
      </w:r>
      <w:r>
        <w:t xml:space="preserve"> </w:t>
      </w:r>
      <w:r w:rsidRPr="00BA2A3A">
        <w:t>WOD2021, SOWA EFS lub Lokalne Systemy Informatyczne (LSI) komunikujące się z SL2021</w:t>
      </w:r>
      <w:r w:rsidR="00F14155">
        <w:t>.</w:t>
      </w:r>
    </w:p>
  </w:footnote>
  <w:footnote w:id="32">
    <w:p w14:paraId="190CB4D1" w14:textId="30E9C4C1" w:rsidR="0031015E" w:rsidRPr="0031015E" w:rsidRDefault="004F0A4A" w:rsidP="00DA067E">
      <w:pPr>
        <w:spacing w:before="120" w:after="120" w:line="360" w:lineRule="auto"/>
      </w:pPr>
      <w:r>
        <w:rPr>
          <w:rStyle w:val="Odwoanieprzypisudolnego"/>
        </w:rPr>
        <w:footnoteRef/>
      </w:r>
      <w:r>
        <w:t xml:space="preserve"> </w:t>
      </w:r>
      <w:r w:rsidRPr="009152EF">
        <w:rPr>
          <w:sz w:val="20"/>
          <w:szCs w:val="20"/>
        </w:rPr>
        <w:t xml:space="preserve">W tym celu osoby pełniły rolę administratorów SL2021 w </w:t>
      </w:r>
      <w:r>
        <w:rPr>
          <w:sz w:val="20"/>
          <w:szCs w:val="20"/>
        </w:rPr>
        <w:t xml:space="preserve">IZ i odpowiedzialne za </w:t>
      </w:r>
      <w:r w:rsidRPr="009152EF">
        <w:rPr>
          <w:sz w:val="20"/>
          <w:szCs w:val="20"/>
        </w:rPr>
        <w:t>dodawanie struktury eSzop i łączenie wartości słownikowych, mus</w:t>
      </w:r>
      <w:r>
        <w:rPr>
          <w:sz w:val="20"/>
          <w:szCs w:val="20"/>
        </w:rPr>
        <w:t xml:space="preserve">za </w:t>
      </w:r>
      <w:r w:rsidRPr="009152EF">
        <w:rPr>
          <w:sz w:val="20"/>
          <w:szCs w:val="20"/>
        </w:rPr>
        <w:t xml:space="preserve">dodać limit „Wydatki na dostępność” do wszystkich Osi jakie będą realizowane </w:t>
      </w:r>
      <w:r>
        <w:rPr>
          <w:sz w:val="20"/>
          <w:szCs w:val="20"/>
        </w:rPr>
        <w:t>w Programie</w:t>
      </w:r>
      <w:r w:rsidRPr="009152EF">
        <w:rPr>
          <w:sz w:val="20"/>
          <w:szCs w:val="20"/>
        </w:rPr>
        <w:t>.</w:t>
      </w:r>
    </w:p>
  </w:footnote>
  <w:footnote w:id="33">
    <w:p w14:paraId="4878CFF8" w14:textId="42764667" w:rsidR="004E79A6" w:rsidRDefault="004E79A6" w:rsidP="00DA067E">
      <w:pPr>
        <w:pStyle w:val="Tekstprzypisudolnego"/>
        <w:spacing w:line="360" w:lineRule="auto"/>
      </w:pPr>
      <w:r>
        <w:rPr>
          <w:rStyle w:val="Odwoanieprzypisudolnego"/>
        </w:rPr>
        <w:footnoteRef/>
      </w:r>
      <w:r>
        <w:t xml:space="preserve"> Zalecane jest w szczególności wskazanie iż </w:t>
      </w:r>
      <w:r>
        <w:rPr>
          <w:rFonts w:eastAsia="Calibri" w:cs="Arial"/>
          <w:lang w:eastAsia="en-US"/>
        </w:rPr>
        <w:t xml:space="preserve">Beneficjent powinien racjonalnie </w:t>
      </w:r>
      <w:r w:rsidRPr="009E7ED7">
        <w:rPr>
          <w:rFonts w:eastAsia="Calibri" w:cs="Arial"/>
          <w:lang w:eastAsia="en-US"/>
        </w:rPr>
        <w:t>szac</w:t>
      </w:r>
      <w:r>
        <w:rPr>
          <w:rFonts w:eastAsia="Calibri" w:cs="Arial"/>
          <w:lang w:eastAsia="en-US"/>
        </w:rPr>
        <w:t xml:space="preserve">ować </w:t>
      </w:r>
      <w:r w:rsidRPr="009E7ED7">
        <w:rPr>
          <w:rFonts w:eastAsia="Calibri" w:cs="Arial"/>
          <w:lang w:eastAsia="en-US"/>
        </w:rPr>
        <w:t>czy elementy związane z dostępnością w danej pozycji budżetowej są znaczące na tyle, by całość kosztu mogła zostać uznana za wydatek związany z dostępnością</w:t>
      </w:r>
      <w:r>
        <w:rPr>
          <w:rFonts w:eastAsia="Calibri" w:cs="Arial"/>
          <w:lang w:eastAsia="en-US"/>
        </w:rPr>
        <w:t xml:space="preserve">. </w:t>
      </w:r>
    </w:p>
  </w:footnote>
  <w:footnote w:id="34">
    <w:p w14:paraId="6C622B34" w14:textId="064CE981" w:rsidR="001D2311" w:rsidRPr="0036446E" w:rsidRDefault="001D2311" w:rsidP="0057187F">
      <w:pPr>
        <w:pStyle w:val="Tekstprzypisudolnego"/>
        <w:spacing w:beforeLines="120" w:before="288" w:afterLines="120" w:after="288" w:line="360" w:lineRule="auto"/>
        <w:rPr>
          <w:rStyle w:val="Hipercze"/>
        </w:rPr>
      </w:pPr>
      <w:r w:rsidRPr="0057187F">
        <w:rPr>
          <w:rStyle w:val="Odwoanieprzypisudolnego"/>
          <w:rFonts w:cs="Arial"/>
        </w:rPr>
        <w:footnoteRef/>
      </w:r>
      <w:r w:rsidRPr="0057187F">
        <w:rPr>
          <w:rFonts w:cs="Arial"/>
        </w:rPr>
        <w:t xml:space="preserve"> Więcej na ten temat na stronie UZP: </w:t>
      </w:r>
      <w:hyperlink r:id="rId7" w:history="1">
        <w:r w:rsidR="0057187F" w:rsidRPr="0036446E">
          <w:rPr>
            <w:rStyle w:val="Hipercze"/>
          </w:rPr>
          <w:t>https://www.uzp.gov.pl/baza-wiedzy/zrownowazone-zamowienia-publiczne/spoleczne-zamowienia/przydatne-informacje/klauzule-spoleczne</w:t>
        </w:r>
      </w:hyperlink>
      <w:r w:rsidR="00E51D2E" w:rsidRPr="0036446E">
        <w:rPr>
          <w:rStyle w:val="Hipercze"/>
        </w:rPr>
        <w:t xml:space="preserve"> </w:t>
      </w:r>
    </w:p>
  </w:footnote>
  <w:footnote w:id="35">
    <w:p w14:paraId="21CCEC8C" w14:textId="07035C83" w:rsidR="00143731" w:rsidRDefault="00143731">
      <w:pPr>
        <w:pStyle w:val="Tekstprzypisudolnego"/>
      </w:pPr>
      <w:r>
        <w:rPr>
          <w:rStyle w:val="Odwoanieprzypisudolnego"/>
        </w:rPr>
        <w:footnoteRef/>
      </w:r>
      <w:r>
        <w:t xml:space="preserve"> Zgodnie z art. 9 rozporządzenia ogólnego.</w:t>
      </w:r>
    </w:p>
  </w:footnote>
  <w:footnote w:id="36">
    <w:p w14:paraId="5CD3B939" w14:textId="77777777" w:rsidR="001D2311" w:rsidRPr="0057187F" w:rsidRDefault="001D2311" w:rsidP="0057187F">
      <w:pPr>
        <w:pStyle w:val="Tekstprzypisudolnego"/>
        <w:spacing w:beforeLines="120" w:before="288" w:afterLines="120" w:after="288" w:line="360" w:lineRule="auto"/>
        <w:rPr>
          <w:rFonts w:cs="Arial"/>
        </w:rPr>
      </w:pPr>
      <w:r w:rsidRPr="0057187F">
        <w:rPr>
          <w:rStyle w:val="Odwoanieprzypisudolnego"/>
          <w:rFonts w:cs="Arial"/>
        </w:rPr>
        <w:footnoteRef/>
      </w:r>
      <w:r w:rsidRPr="0057187F">
        <w:rPr>
          <w:rFonts w:cs="Arial"/>
        </w:rPr>
        <w:t xml:space="preserve"> Nie dotyczy projektów z pomocy technicznej.</w:t>
      </w:r>
    </w:p>
  </w:footnote>
  <w:footnote w:id="37">
    <w:p w14:paraId="63AB6F3C" w14:textId="77777777" w:rsidR="001D2311" w:rsidRPr="0057187F" w:rsidRDefault="001D2311" w:rsidP="0057187F">
      <w:pPr>
        <w:pStyle w:val="Tekstprzypisudolnego"/>
        <w:spacing w:beforeLines="120" w:before="288" w:afterLines="120" w:after="288" w:line="360" w:lineRule="auto"/>
        <w:rPr>
          <w:rFonts w:cs="Arial"/>
        </w:rPr>
      </w:pPr>
      <w:r w:rsidRPr="0057187F">
        <w:rPr>
          <w:rStyle w:val="Odwoanieprzypisudolnego"/>
          <w:rFonts w:cs="Arial"/>
        </w:rPr>
        <w:footnoteRef/>
      </w:r>
      <w:r w:rsidRPr="0057187F">
        <w:rPr>
          <w:rFonts w:cs="Arial"/>
        </w:rPr>
        <w:t xml:space="preserve"> Niniejsze kryterium może być włączone do ogólnego kryterium dotyczącego zgodności projektu z zasadami horyzontalnymi pod warunkiem rozłączności oceny każdej z tych zasad.</w:t>
      </w:r>
    </w:p>
  </w:footnote>
  <w:footnote w:id="38">
    <w:p w14:paraId="45D31485" w14:textId="77777777" w:rsidR="00C617B6" w:rsidRDefault="00C617B6" w:rsidP="00DA067E">
      <w:pPr>
        <w:pStyle w:val="Tekstprzypisudolnego"/>
        <w:spacing w:line="360" w:lineRule="auto"/>
      </w:pPr>
      <w:r>
        <w:rPr>
          <w:rStyle w:val="Odwoanieprzypisudolnego"/>
        </w:rPr>
        <w:footnoteRef/>
      </w:r>
      <w:r>
        <w:t xml:space="preserve"> W przypadku „Zadania” opis zasad równościowych może zostać wskazany jako zadanie bezkosztowe.</w:t>
      </w:r>
    </w:p>
  </w:footnote>
  <w:footnote w:id="39">
    <w:p w14:paraId="70021B8D" w14:textId="19D8C8D0" w:rsidR="0057187F" w:rsidRPr="0057187F" w:rsidRDefault="0057187F" w:rsidP="0057187F">
      <w:pPr>
        <w:pStyle w:val="Tekstprzypisudolnego"/>
        <w:spacing w:beforeLines="120" w:before="288" w:afterLines="120" w:after="288" w:line="360" w:lineRule="auto"/>
        <w:rPr>
          <w:rFonts w:cs="Arial"/>
        </w:rPr>
      </w:pPr>
      <w:r w:rsidRPr="0057187F">
        <w:rPr>
          <w:rStyle w:val="Odwoanieprzypisudolnego"/>
          <w:rFonts w:cs="Arial"/>
        </w:rPr>
        <w:footnoteRef/>
      </w:r>
      <w:r w:rsidRPr="0057187F">
        <w:rPr>
          <w:rFonts w:cs="Arial"/>
        </w:rPr>
        <w:t xml:space="preserve"> Szkolenia te mogą odbywać się na poziomie IP, o ile takie zadania zostaną przekazane przez </w:t>
      </w:r>
      <w:r w:rsidR="00A35625">
        <w:rPr>
          <w:rFonts w:cs="Arial"/>
        </w:rPr>
        <w:t>IZ.</w:t>
      </w:r>
    </w:p>
  </w:footnote>
  <w:footnote w:id="40">
    <w:p w14:paraId="5D576D04" w14:textId="0FBE2397" w:rsidR="0057187F" w:rsidRPr="0057187F" w:rsidRDefault="0057187F" w:rsidP="0057187F">
      <w:pPr>
        <w:pStyle w:val="Tekstprzypisudolnego"/>
        <w:spacing w:beforeLines="120" w:before="288" w:afterLines="120" w:after="288" w:line="360" w:lineRule="auto"/>
        <w:rPr>
          <w:rFonts w:cs="Arial"/>
        </w:rPr>
      </w:pPr>
      <w:r w:rsidRPr="0057187F">
        <w:rPr>
          <w:rStyle w:val="Odwoanieprzypisudolnego"/>
          <w:rFonts w:cs="Arial"/>
        </w:rPr>
        <w:footnoteRef/>
      </w:r>
      <w:r w:rsidRPr="0057187F">
        <w:rPr>
          <w:rFonts w:cs="Arial"/>
        </w:rPr>
        <w:t xml:space="preserve"> Przykładowo jeśli we wniosku o płatność rozliczane są wydatki dotyczące szkoleń powinny być opisane faktycznie zastosowane zasady wynikające ze standardu szkoleniowego określonego </w:t>
      </w:r>
      <w:r w:rsidR="00750B91">
        <w:rPr>
          <w:rFonts w:cs="Arial"/>
        </w:rPr>
        <w:br/>
      </w:r>
      <w:r w:rsidRPr="0057187F">
        <w:rPr>
          <w:rFonts w:cs="Arial"/>
        </w:rPr>
        <w:t>w załączniku nr 2 do wytycznych, jeśli rozliczany jest wydatek w postaci remontu budynków – powinny być opisane rozwiązania jakie przyjęto dla osób z niepełnosprawnościami, jeśli rozliczane są wydatki na zakup sprzętu komputerowego – konieczne jest odniesienie do standardu cyfrowego określonego w załączniku nr 2 do wytycznych, itp.</w:t>
      </w:r>
      <w:r w:rsidR="000915C6" w:rsidRPr="000915C6">
        <w:t xml:space="preserve"> </w:t>
      </w:r>
      <w:r w:rsidR="000915C6" w:rsidRPr="000915C6">
        <w:rPr>
          <w:rFonts w:cs="Arial"/>
        </w:rPr>
        <w:t>W przypadku gdy w okresie rozliczeniowym nie rozliczano wydatków, dla których wskazano we wniosku o dofinansowanie projektu stosowanie zasad równościowych (np. działania za które projekt otrzymał punkty w standardzie minimum lub działania realizowane zgodnie ze standardami dostępności dla polityki spójności 2021–2027) albo gdy projekt został uznany za neutralny w zakresie zasady równości kobiet i mężczyzn – w odpowiednim do tego polu należy wpisać „nie dotyczy”.</w:t>
      </w:r>
    </w:p>
  </w:footnote>
  <w:footnote w:id="41">
    <w:p w14:paraId="7DFE1462" w14:textId="77777777" w:rsidR="0057187F" w:rsidRPr="0057187F" w:rsidRDefault="0057187F" w:rsidP="0057187F">
      <w:pPr>
        <w:pStyle w:val="Tekstprzypisudolnego"/>
        <w:spacing w:beforeLines="120" w:before="288" w:afterLines="120" w:after="288" w:line="360" w:lineRule="auto"/>
        <w:rPr>
          <w:rFonts w:cs="Arial"/>
        </w:rPr>
      </w:pPr>
      <w:r w:rsidRPr="0057187F">
        <w:rPr>
          <w:rStyle w:val="Odwoanieprzypisudolnego"/>
          <w:rFonts w:cs="Arial"/>
        </w:rPr>
        <w:footnoteRef/>
      </w:r>
      <w:r w:rsidRPr="0057187F">
        <w:rPr>
          <w:rFonts w:cs="Arial"/>
        </w:rPr>
        <w:t xml:space="preserve"> Zgodnie z zapisami rozdziału 3, pkt 15) i 16) wytycznych dotyczących komitetów monitorujących na lata 2021-2027.</w:t>
      </w:r>
    </w:p>
  </w:footnote>
  <w:footnote w:id="42">
    <w:p w14:paraId="1760DCF4" w14:textId="77777777" w:rsidR="0057187F" w:rsidRPr="0057187F" w:rsidRDefault="0057187F" w:rsidP="0057187F">
      <w:pPr>
        <w:pStyle w:val="Tekstprzypisudolnego"/>
        <w:spacing w:beforeLines="120" w:before="288" w:afterLines="120" w:after="288" w:line="360" w:lineRule="auto"/>
        <w:rPr>
          <w:rFonts w:cs="Arial"/>
        </w:rPr>
      </w:pPr>
      <w:r w:rsidRPr="0057187F">
        <w:rPr>
          <w:rStyle w:val="Odwoanieprzypisudolnego"/>
          <w:rFonts w:cs="Arial"/>
        </w:rPr>
        <w:footnoteRef/>
      </w:r>
      <w:r w:rsidRPr="0057187F">
        <w:rPr>
          <w:rFonts w:cs="Arial"/>
        </w:rPr>
        <w:t xml:space="preserve"> Ewaluacja odbywa się zgodnie z wytycznymi dotyczącymi ewaluacji polityki spójności na lata 2021-2027.</w:t>
      </w:r>
    </w:p>
  </w:footnote>
  <w:footnote w:id="43">
    <w:p w14:paraId="2088F56E" w14:textId="77777777" w:rsidR="0057187F" w:rsidRPr="0057187F" w:rsidRDefault="0057187F" w:rsidP="0057187F">
      <w:pPr>
        <w:pStyle w:val="Tekstprzypisudolnego"/>
        <w:spacing w:beforeLines="120" w:before="288" w:afterLines="120" w:after="288" w:line="360" w:lineRule="auto"/>
        <w:rPr>
          <w:rFonts w:cs="Arial"/>
        </w:rPr>
      </w:pPr>
      <w:r w:rsidRPr="0057187F">
        <w:rPr>
          <w:rStyle w:val="Odwoanieprzypisudolnego"/>
          <w:rFonts w:cs="Arial"/>
        </w:rPr>
        <w:footnoteRef/>
      </w:r>
      <w:r w:rsidRPr="0057187F">
        <w:rPr>
          <w:rFonts w:cs="Arial"/>
        </w:rPr>
        <w:t xml:space="preserve"> Za stronę internetową, będącą produktem projektu, uznaje się również zakładkę/podstronę oraz inny sposób informowania o projekcie.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C07"/>
    <w:multiLevelType w:val="multilevel"/>
    <w:tmpl w:val="9CE8EE0E"/>
    <w:name w:val="a.22222222222222223223222222232322"/>
    <w:styleLink w:val="Sty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6F7189"/>
    <w:multiLevelType w:val="hybridMultilevel"/>
    <w:tmpl w:val="806C2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0D6D15"/>
    <w:multiLevelType w:val="hybridMultilevel"/>
    <w:tmpl w:val="9CE696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D54AAD"/>
    <w:multiLevelType w:val="hybridMultilevel"/>
    <w:tmpl w:val="A5A8D104"/>
    <w:lvl w:ilvl="0" w:tplc="47F29F30">
      <w:start w:val="1"/>
      <w:numFmt w:val="lowerRoman"/>
      <w:lvlText w:val="%1)"/>
      <w:lvlJc w:val="left"/>
      <w:pPr>
        <w:ind w:left="1428" w:hanging="360"/>
      </w:pPr>
      <w:rPr>
        <w:rFonts w:ascii="Arial" w:eastAsia="Times New Roman" w:hAnsi="Arial" w:cs="Arial"/>
      </w:rPr>
    </w:lvl>
    <w:lvl w:ilvl="1" w:tplc="3606DE58">
      <w:start w:val="1"/>
      <w:numFmt w:val="lowerRoman"/>
      <w:lvlText w:val="%2)"/>
      <w:lvlJc w:val="left"/>
      <w:pPr>
        <w:ind w:left="2148" w:hanging="360"/>
      </w:pPr>
      <w:rPr>
        <w:rFonts w:ascii="Arial" w:eastAsia="Times New Roman" w:hAnsi="Arial" w:cs="Arial"/>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17DD20F6"/>
    <w:multiLevelType w:val="multilevel"/>
    <w:tmpl w:val="0415001D"/>
    <w:name w:val="a.2222222222222222322322222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4466DF"/>
    <w:multiLevelType w:val="multilevel"/>
    <w:tmpl w:val="DA0227AC"/>
    <w:name w:val="a.22222222222222223223222222222226"/>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7052BC"/>
    <w:multiLevelType w:val="multilevel"/>
    <w:tmpl w:val="0415001D"/>
    <w:name w:val="a.2222222222222222322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CC504A"/>
    <w:multiLevelType w:val="singleLevel"/>
    <w:tmpl w:val="04150017"/>
    <w:lvl w:ilvl="0">
      <w:start w:val="1"/>
      <w:numFmt w:val="lowerLetter"/>
      <w:lvlText w:val="%1)"/>
      <w:lvlJc w:val="left"/>
      <w:pPr>
        <w:ind w:left="720" w:hanging="360"/>
      </w:pPr>
    </w:lvl>
  </w:abstractNum>
  <w:abstractNum w:abstractNumId="8" w15:restartNumberingAfterBreak="0">
    <w:nsid w:val="220E398A"/>
    <w:multiLevelType w:val="hybridMultilevel"/>
    <w:tmpl w:val="72A0D4DA"/>
    <w:lvl w:ilvl="0" w:tplc="04150011">
      <w:start w:val="1"/>
      <w:numFmt w:val="decimal"/>
      <w:lvlText w:val="%1)"/>
      <w:lvlJc w:val="left"/>
      <w:pPr>
        <w:ind w:left="1440" w:hanging="360"/>
      </w:pPr>
    </w:lvl>
    <w:lvl w:ilvl="1" w:tplc="04150017">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A472F1A"/>
    <w:multiLevelType w:val="hybridMultilevel"/>
    <w:tmpl w:val="7C4605D4"/>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2C6F6750"/>
    <w:multiLevelType w:val="hybridMultilevel"/>
    <w:tmpl w:val="5E5C7E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197DBF"/>
    <w:multiLevelType w:val="hybridMultilevel"/>
    <w:tmpl w:val="C382E6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475021"/>
    <w:multiLevelType w:val="hybridMultilevel"/>
    <w:tmpl w:val="9CC6C2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690ADC"/>
    <w:multiLevelType w:val="hybridMultilevel"/>
    <w:tmpl w:val="A5A8D104"/>
    <w:lvl w:ilvl="0" w:tplc="47F29F30">
      <w:start w:val="1"/>
      <w:numFmt w:val="lowerRoman"/>
      <w:lvlText w:val="%1)"/>
      <w:lvlJc w:val="left"/>
      <w:pPr>
        <w:ind w:left="1428" w:hanging="360"/>
      </w:pPr>
      <w:rPr>
        <w:rFonts w:ascii="Arial" w:eastAsia="Times New Roman" w:hAnsi="Arial" w:cs="Arial"/>
      </w:rPr>
    </w:lvl>
    <w:lvl w:ilvl="1" w:tplc="3606DE58">
      <w:start w:val="1"/>
      <w:numFmt w:val="lowerRoman"/>
      <w:lvlText w:val="%2)"/>
      <w:lvlJc w:val="left"/>
      <w:pPr>
        <w:ind w:left="2148" w:hanging="360"/>
      </w:pPr>
      <w:rPr>
        <w:rFonts w:ascii="Arial" w:eastAsia="Times New Roman" w:hAnsi="Arial" w:cs="Arial"/>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34A71758"/>
    <w:multiLevelType w:val="hybridMultilevel"/>
    <w:tmpl w:val="1442992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66B57F1"/>
    <w:multiLevelType w:val="hybridMultilevel"/>
    <w:tmpl w:val="062E74C8"/>
    <w:lvl w:ilvl="0" w:tplc="C4C2FD72">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45543D"/>
    <w:multiLevelType w:val="multilevel"/>
    <w:tmpl w:val="0415001D"/>
    <w:name w:val="a.2222222222222222322322222222222"/>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EA067C"/>
    <w:multiLevelType w:val="singleLevel"/>
    <w:tmpl w:val="0415000B"/>
    <w:name w:val="a.222222222222222232232222222222262"/>
    <w:lvl w:ilvl="0">
      <w:start w:val="1"/>
      <w:numFmt w:val="bullet"/>
      <w:lvlText w:val=""/>
      <w:lvlJc w:val="left"/>
      <w:pPr>
        <w:ind w:left="360" w:hanging="360"/>
      </w:pPr>
      <w:rPr>
        <w:rFonts w:ascii="Wingdings" w:hAnsi="Wingdings" w:hint="default"/>
        <w:sz w:val="24"/>
      </w:rPr>
    </w:lvl>
  </w:abstractNum>
  <w:abstractNum w:abstractNumId="18" w15:restartNumberingAfterBreak="0">
    <w:nsid w:val="4BFA6C9F"/>
    <w:multiLevelType w:val="hybridMultilevel"/>
    <w:tmpl w:val="9A2C1E12"/>
    <w:lvl w:ilvl="0" w:tplc="FA4263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180733"/>
    <w:multiLevelType w:val="hybridMultilevel"/>
    <w:tmpl w:val="806C2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C12544"/>
    <w:multiLevelType w:val="hybridMultilevel"/>
    <w:tmpl w:val="D194A9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7645AE"/>
    <w:multiLevelType w:val="hybridMultilevel"/>
    <w:tmpl w:val="CCD242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B2626A"/>
    <w:multiLevelType w:val="hybridMultilevel"/>
    <w:tmpl w:val="A0DE1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A14901"/>
    <w:multiLevelType w:val="hybridMultilevel"/>
    <w:tmpl w:val="CD027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2871816"/>
    <w:multiLevelType w:val="hybridMultilevel"/>
    <w:tmpl w:val="9CE696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805644"/>
    <w:multiLevelType w:val="hybridMultilevel"/>
    <w:tmpl w:val="5DE824BE"/>
    <w:lvl w:ilvl="0" w:tplc="0415000F">
      <w:start w:val="1"/>
      <w:numFmt w:val="decimal"/>
      <w:lvlText w:val="%1."/>
      <w:lvlJc w:val="left"/>
      <w:pPr>
        <w:ind w:left="720" w:hanging="360"/>
      </w:pPr>
      <w:rPr>
        <w:b w:val="0"/>
        <w:color w:val="auto"/>
        <w:sz w:val="22"/>
        <w:szCs w:val="22"/>
      </w:rPr>
    </w:lvl>
    <w:lvl w:ilvl="1" w:tplc="04150017">
      <w:start w:val="1"/>
      <w:numFmt w:val="lowerLetter"/>
      <w:lvlText w:val="%2)"/>
      <w:lvlJc w:val="left"/>
      <w:pPr>
        <w:ind w:left="1440" w:hanging="360"/>
      </w:pPr>
      <w:rPr>
        <w:sz w:val="22"/>
        <w:szCs w:val="22"/>
      </w:rPr>
    </w:lvl>
    <w:lvl w:ilvl="2" w:tplc="0415001B">
      <w:start w:val="1"/>
      <w:numFmt w:val="lowerRoman"/>
      <w:lvlText w:val="%3."/>
      <w:lvlJc w:val="right"/>
      <w:pPr>
        <w:ind w:left="2160" w:hanging="180"/>
      </w:pPr>
    </w:lvl>
    <w:lvl w:ilvl="3" w:tplc="40D8108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AB4E3B"/>
    <w:multiLevelType w:val="hybridMultilevel"/>
    <w:tmpl w:val="DF5ED838"/>
    <w:lvl w:ilvl="0" w:tplc="7CA071EC">
      <w:start w:val="1"/>
      <w:numFmt w:val="lowerLetter"/>
      <w:lvlText w:val="%1)"/>
      <w:lvlJc w:val="left"/>
      <w:pPr>
        <w:ind w:left="1068" w:hanging="360"/>
      </w:pPr>
      <w:rPr>
        <w:rFonts w:ascii="Arial" w:eastAsia="Times New Roman" w:hAnsi="Arial" w:cs="Arial"/>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77D31E36"/>
    <w:multiLevelType w:val="hybridMultilevel"/>
    <w:tmpl w:val="D820DD3C"/>
    <w:lvl w:ilvl="0" w:tplc="F97A7E24">
      <w:start w:val="1"/>
      <w:numFmt w:val="lowerLetter"/>
      <w:lvlText w:val="%1)"/>
      <w:lvlJc w:val="left"/>
      <w:pPr>
        <w:ind w:left="1068" w:hanging="360"/>
      </w:pPr>
      <w:rPr>
        <w:rFonts w:ascii="Arial" w:eastAsia="Times New Roman"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7AB66B1A"/>
    <w:multiLevelType w:val="hybridMultilevel"/>
    <w:tmpl w:val="1A8242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4350FA"/>
    <w:multiLevelType w:val="multilevel"/>
    <w:tmpl w:val="7C02E014"/>
    <w:name w:val="a.22222222222222223223222222222223"/>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FF07E85"/>
    <w:multiLevelType w:val="multilevel"/>
    <w:tmpl w:val="0415001D"/>
    <w:name w:val="a.22222222222222223223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0"/>
  </w:num>
  <w:num w:numId="3">
    <w:abstractNumId w:val="20"/>
  </w:num>
  <w:num w:numId="4">
    <w:abstractNumId w:val="18"/>
  </w:num>
  <w:num w:numId="5">
    <w:abstractNumId w:val="11"/>
  </w:num>
  <w:num w:numId="6">
    <w:abstractNumId w:val="15"/>
  </w:num>
  <w:num w:numId="7">
    <w:abstractNumId w:val="27"/>
  </w:num>
  <w:num w:numId="8">
    <w:abstractNumId w:val="22"/>
  </w:num>
  <w:num w:numId="9">
    <w:abstractNumId w:val="28"/>
  </w:num>
  <w:num w:numId="10">
    <w:abstractNumId w:val="26"/>
  </w:num>
  <w:num w:numId="11">
    <w:abstractNumId w:val="14"/>
  </w:num>
  <w:num w:numId="12">
    <w:abstractNumId w:val="24"/>
  </w:num>
  <w:num w:numId="13">
    <w:abstractNumId w:val="2"/>
  </w:num>
  <w:num w:numId="14">
    <w:abstractNumId w:val="21"/>
  </w:num>
  <w:num w:numId="15">
    <w:abstractNumId w:val="7"/>
  </w:num>
  <w:num w:numId="16">
    <w:abstractNumId w:val="3"/>
  </w:num>
  <w:num w:numId="17">
    <w:abstractNumId w:val="13"/>
  </w:num>
  <w:num w:numId="18">
    <w:abstractNumId w:val="19"/>
  </w:num>
  <w:num w:numId="19">
    <w:abstractNumId w:val="1"/>
  </w:num>
  <w:num w:numId="20">
    <w:abstractNumId w:val="9"/>
  </w:num>
  <w:num w:numId="21">
    <w:abstractNumId w:val="12"/>
  </w:num>
  <w:num w:numId="22">
    <w:abstractNumId w:val="23"/>
  </w:num>
  <w:num w:numId="23">
    <w:abstractNumId w:val="8"/>
  </w:num>
  <w:num w:numId="24">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788"/>
    <w:rsid w:val="00012822"/>
    <w:rsid w:val="0003289D"/>
    <w:rsid w:val="00043677"/>
    <w:rsid w:val="000537B2"/>
    <w:rsid w:val="00075942"/>
    <w:rsid w:val="000807EE"/>
    <w:rsid w:val="000915C6"/>
    <w:rsid w:val="000952A5"/>
    <w:rsid w:val="000A27BD"/>
    <w:rsid w:val="000A3B21"/>
    <w:rsid w:val="000A53A5"/>
    <w:rsid w:val="000B18D3"/>
    <w:rsid w:val="000C3725"/>
    <w:rsid w:val="000E507E"/>
    <w:rsid w:val="001060AF"/>
    <w:rsid w:val="00115B33"/>
    <w:rsid w:val="00121914"/>
    <w:rsid w:val="0012534B"/>
    <w:rsid w:val="0013078B"/>
    <w:rsid w:val="00136650"/>
    <w:rsid w:val="00143731"/>
    <w:rsid w:val="00157265"/>
    <w:rsid w:val="001708D8"/>
    <w:rsid w:val="001769DC"/>
    <w:rsid w:val="00177D1F"/>
    <w:rsid w:val="00186CB0"/>
    <w:rsid w:val="00193A5B"/>
    <w:rsid w:val="001A5602"/>
    <w:rsid w:val="001B0791"/>
    <w:rsid w:val="001B35AE"/>
    <w:rsid w:val="001C00AF"/>
    <w:rsid w:val="001C19E0"/>
    <w:rsid w:val="001C5090"/>
    <w:rsid w:val="001C6910"/>
    <w:rsid w:val="001D2311"/>
    <w:rsid w:val="001D4463"/>
    <w:rsid w:val="001D6AF8"/>
    <w:rsid w:val="001E2ED1"/>
    <w:rsid w:val="001E5614"/>
    <w:rsid w:val="001F165A"/>
    <w:rsid w:val="001F2C87"/>
    <w:rsid w:val="00200E5C"/>
    <w:rsid w:val="00206D55"/>
    <w:rsid w:val="0020754E"/>
    <w:rsid w:val="002176C7"/>
    <w:rsid w:val="00240C42"/>
    <w:rsid w:val="002410F7"/>
    <w:rsid w:val="00260C82"/>
    <w:rsid w:val="00261F5D"/>
    <w:rsid w:val="002643A6"/>
    <w:rsid w:val="002670EC"/>
    <w:rsid w:val="0027674B"/>
    <w:rsid w:val="002842FE"/>
    <w:rsid w:val="002930FE"/>
    <w:rsid w:val="00297AF9"/>
    <w:rsid w:val="002D287B"/>
    <w:rsid w:val="002D4224"/>
    <w:rsid w:val="002F5205"/>
    <w:rsid w:val="0031015E"/>
    <w:rsid w:val="00312D30"/>
    <w:rsid w:val="0034588C"/>
    <w:rsid w:val="00347E24"/>
    <w:rsid w:val="003525FF"/>
    <w:rsid w:val="003544EC"/>
    <w:rsid w:val="0036446E"/>
    <w:rsid w:val="00377B64"/>
    <w:rsid w:val="003954C2"/>
    <w:rsid w:val="003A6720"/>
    <w:rsid w:val="003C167D"/>
    <w:rsid w:val="003C3EA3"/>
    <w:rsid w:val="003D0637"/>
    <w:rsid w:val="003D38E9"/>
    <w:rsid w:val="003F7955"/>
    <w:rsid w:val="00402F5F"/>
    <w:rsid w:val="00423124"/>
    <w:rsid w:val="00433B12"/>
    <w:rsid w:val="00472020"/>
    <w:rsid w:val="00482C21"/>
    <w:rsid w:val="004A42AE"/>
    <w:rsid w:val="004D5C08"/>
    <w:rsid w:val="004E01AC"/>
    <w:rsid w:val="004E3E56"/>
    <w:rsid w:val="004E50C0"/>
    <w:rsid w:val="004E79A6"/>
    <w:rsid w:val="004F0A4A"/>
    <w:rsid w:val="004F5327"/>
    <w:rsid w:val="00514340"/>
    <w:rsid w:val="005263E8"/>
    <w:rsid w:val="00534041"/>
    <w:rsid w:val="0053487E"/>
    <w:rsid w:val="00537277"/>
    <w:rsid w:val="005372CB"/>
    <w:rsid w:val="00555E27"/>
    <w:rsid w:val="0057071A"/>
    <w:rsid w:val="0057187F"/>
    <w:rsid w:val="00590863"/>
    <w:rsid w:val="00592CED"/>
    <w:rsid w:val="00621CAE"/>
    <w:rsid w:val="00621D92"/>
    <w:rsid w:val="00637C96"/>
    <w:rsid w:val="00640657"/>
    <w:rsid w:val="00641BD0"/>
    <w:rsid w:val="006560F1"/>
    <w:rsid w:val="006631B3"/>
    <w:rsid w:val="00666693"/>
    <w:rsid w:val="0067779A"/>
    <w:rsid w:val="0068255F"/>
    <w:rsid w:val="0068620F"/>
    <w:rsid w:val="00691E5C"/>
    <w:rsid w:val="006A1D4A"/>
    <w:rsid w:val="006A6BC0"/>
    <w:rsid w:val="006C3B39"/>
    <w:rsid w:val="006D69E2"/>
    <w:rsid w:val="006F0E70"/>
    <w:rsid w:val="006F678B"/>
    <w:rsid w:val="00703D8D"/>
    <w:rsid w:val="00721390"/>
    <w:rsid w:val="00724E41"/>
    <w:rsid w:val="00735FEC"/>
    <w:rsid w:val="0074645C"/>
    <w:rsid w:val="00750B91"/>
    <w:rsid w:val="00752668"/>
    <w:rsid w:val="0076052D"/>
    <w:rsid w:val="007630F6"/>
    <w:rsid w:val="00764F73"/>
    <w:rsid w:val="00774FC5"/>
    <w:rsid w:val="00786E4B"/>
    <w:rsid w:val="00796DF3"/>
    <w:rsid w:val="007A789B"/>
    <w:rsid w:val="007A78BB"/>
    <w:rsid w:val="007B3300"/>
    <w:rsid w:val="007C533C"/>
    <w:rsid w:val="007C6865"/>
    <w:rsid w:val="007D165E"/>
    <w:rsid w:val="007D52B0"/>
    <w:rsid w:val="007D6605"/>
    <w:rsid w:val="007E28F7"/>
    <w:rsid w:val="007E3249"/>
    <w:rsid w:val="007F076D"/>
    <w:rsid w:val="007F5555"/>
    <w:rsid w:val="008015FD"/>
    <w:rsid w:val="0080370E"/>
    <w:rsid w:val="008041FA"/>
    <w:rsid w:val="0081195F"/>
    <w:rsid w:val="00820E36"/>
    <w:rsid w:val="00835D92"/>
    <w:rsid w:val="00836CFE"/>
    <w:rsid w:val="0085288D"/>
    <w:rsid w:val="008545E3"/>
    <w:rsid w:val="008627CF"/>
    <w:rsid w:val="008640F4"/>
    <w:rsid w:val="008660B9"/>
    <w:rsid w:val="008C4701"/>
    <w:rsid w:val="008C59F7"/>
    <w:rsid w:val="008D230E"/>
    <w:rsid w:val="008D5D4B"/>
    <w:rsid w:val="008D7C10"/>
    <w:rsid w:val="008E1B26"/>
    <w:rsid w:val="008F7A4A"/>
    <w:rsid w:val="00915E13"/>
    <w:rsid w:val="00916A06"/>
    <w:rsid w:val="00921773"/>
    <w:rsid w:val="00921B09"/>
    <w:rsid w:val="0093535B"/>
    <w:rsid w:val="009409E0"/>
    <w:rsid w:val="00955322"/>
    <w:rsid w:val="00964C45"/>
    <w:rsid w:val="00972E4E"/>
    <w:rsid w:val="00973CB5"/>
    <w:rsid w:val="00977259"/>
    <w:rsid w:val="00987EDF"/>
    <w:rsid w:val="00994181"/>
    <w:rsid w:val="00994FBE"/>
    <w:rsid w:val="009C6F07"/>
    <w:rsid w:val="009C77F8"/>
    <w:rsid w:val="009C79B3"/>
    <w:rsid w:val="009D0F1C"/>
    <w:rsid w:val="009D350F"/>
    <w:rsid w:val="009D6D31"/>
    <w:rsid w:val="009E45AC"/>
    <w:rsid w:val="009E53E6"/>
    <w:rsid w:val="009E7ED7"/>
    <w:rsid w:val="00A00C8D"/>
    <w:rsid w:val="00A01B09"/>
    <w:rsid w:val="00A11BDA"/>
    <w:rsid w:val="00A15E80"/>
    <w:rsid w:val="00A261F9"/>
    <w:rsid w:val="00A35625"/>
    <w:rsid w:val="00A51F43"/>
    <w:rsid w:val="00A54B73"/>
    <w:rsid w:val="00A5769F"/>
    <w:rsid w:val="00A649B6"/>
    <w:rsid w:val="00A65F11"/>
    <w:rsid w:val="00A879FC"/>
    <w:rsid w:val="00AA5C9A"/>
    <w:rsid w:val="00AA6ED9"/>
    <w:rsid w:val="00AB3D6B"/>
    <w:rsid w:val="00AD6CDD"/>
    <w:rsid w:val="00AD761C"/>
    <w:rsid w:val="00AD7E58"/>
    <w:rsid w:val="00AF1788"/>
    <w:rsid w:val="00B05676"/>
    <w:rsid w:val="00B31B04"/>
    <w:rsid w:val="00B36D97"/>
    <w:rsid w:val="00B42400"/>
    <w:rsid w:val="00B451F7"/>
    <w:rsid w:val="00B46CBC"/>
    <w:rsid w:val="00B61D6B"/>
    <w:rsid w:val="00B74548"/>
    <w:rsid w:val="00B90536"/>
    <w:rsid w:val="00B935C0"/>
    <w:rsid w:val="00BA2882"/>
    <w:rsid w:val="00BA2A3A"/>
    <w:rsid w:val="00BB3473"/>
    <w:rsid w:val="00BB5854"/>
    <w:rsid w:val="00BD33B9"/>
    <w:rsid w:val="00BE7CCA"/>
    <w:rsid w:val="00C0352D"/>
    <w:rsid w:val="00C07B07"/>
    <w:rsid w:val="00C20994"/>
    <w:rsid w:val="00C2117A"/>
    <w:rsid w:val="00C21228"/>
    <w:rsid w:val="00C2198C"/>
    <w:rsid w:val="00C33C5C"/>
    <w:rsid w:val="00C5437E"/>
    <w:rsid w:val="00C55E15"/>
    <w:rsid w:val="00C617B6"/>
    <w:rsid w:val="00C63748"/>
    <w:rsid w:val="00C6528D"/>
    <w:rsid w:val="00C85B9C"/>
    <w:rsid w:val="00C86B2C"/>
    <w:rsid w:val="00C97857"/>
    <w:rsid w:val="00CA73DC"/>
    <w:rsid w:val="00CB0430"/>
    <w:rsid w:val="00CC27D7"/>
    <w:rsid w:val="00CC4402"/>
    <w:rsid w:val="00CD7463"/>
    <w:rsid w:val="00CE1BA1"/>
    <w:rsid w:val="00CE600F"/>
    <w:rsid w:val="00CF05B4"/>
    <w:rsid w:val="00D02CD3"/>
    <w:rsid w:val="00D17199"/>
    <w:rsid w:val="00D172CD"/>
    <w:rsid w:val="00D17B30"/>
    <w:rsid w:val="00D314A3"/>
    <w:rsid w:val="00D3778A"/>
    <w:rsid w:val="00D5023D"/>
    <w:rsid w:val="00D54B28"/>
    <w:rsid w:val="00D561FE"/>
    <w:rsid w:val="00D70767"/>
    <w:rsid w:val="00D85F91"/>
    <w:rsid w:val="00D9053C"/>
    <w:rsid w:val="00D917C6"/>
    <w:rsid w:val="00D927EC"/>
    <w:rsid w:val="00DA067E"/>
    <w:rsid w:val="00DA67D2"/>
    <w:rsid w:val="00DA7234"/>
    <w:rsid w:val="00DB0DEC"/>
    <w:rsid w:val="00DB41F8"/>
    <w:rsid w:val="00DD51F1"/>
    <w:rsid w:val="00DE74DD"/>
    <w:rsid w:val="00DF14D2"/>
    <w:rsid w:val="00DF6540"/>
    <w:rsid w:val="00E10752"/>
    <w:rsid w:val="00E160AD"/>
    <w:rsid w:val="00E35AD4"/>
    <w:rsid w:val="00E4310D"/>
    <w:rsid w:val="00E50339"/>
    <w:rsid w:val="00E51D2E"/>
    <w:rsid w:val="00E70F7F"/>
    <w:rsid w:val="00E71C13"/>
    <w:rsid w:val="00E72D90"/>
    <w:rsid w:val="00E836A8"/>
    <w:rsid w:val="00E85C8E"/>
    <w:rsid w:val="00E9095E"/>
    <w:rsid w:val="00E95454"/>
    <w:rsid w:val="00EA0A03"/>
    <w:rsid w:val="00EA0E50"/>
    <w:rsid w:val="00EA243D"/>
    <w:rsid w:val="00EB07EF"/>
    <w:rsid w:val="00EB2F79"/>
    <w:rsid w:val="00EB430C"/>
    <w:rsid w:val="00EB67DF"/>
    <w:rsid w:val="00ED0E6C"/>
    <w:rsid w:val="00EE32FB"/>
    <w:rsid w:val="00EE42C8"/>
    <w:rsid w:val="00EF0C1D"/>
    <w:rsid w:val="00F0567F"/>
    <w:rsid w:val="00F14155"/>
    <w:rsid w:val="00F312AC"/>
    <w:rsid w:val="00F3534C"/>
    <w:rsid w:val="00F43DB2"/>
    <w:rsid w:val="00F51133"/>
    <w:rsid w:val="00F54635"/>
    <w:rsid w:val="00F54910"/>
    <w:rsid w:val="00F6184F"/>
    <w:rsid w:val="00F62766"/>
    <w:rsid w:val="00F75F09"/>
    <w:rsid w:val="00F80C1B"/>
    <w:rsid w:val="00F83202"/>
    <w:rsid w:val="00F871D0"/>
    <w:rsid w:val="00F97C0B"/>
    <w:rsid w:val="00FA36DF"/>
    <w:rsid w:val="00FB7C92"/>
    <w:rsid w:val="00FC0F57"/>
    <w:rsid w:val="00FD479A"/>
    <w:rsid w:val="00FD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515F3"/>
  <w15:docId w15:val="{A8D2F7AE-C99C-4BA0-A314-0F34D501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617B6"/>
    <w:rPr>
      <w:rFonts w:ascii="Arial" w:hAnsi="Arial"/>
      <w:sz w:val="24"/>
      <w:szCs w:val="24"/>
      <w:lang w:eastAsia="pl-PL"/>
    </w:rPr>
  </w:style>
  <w:style w:type="paragraph" w:styleId="Nagwek1">
    <w:name w:val="heading 1"/>
    <w:basedOn w:val="Normalny"/>
    <w:next w:val="Normalny"/>
    <w:link w:val="Nagwek1Znak"/>
    <w:autoRedefine/>
    <w:qFormat/>
    <w:rsid w:val="001D2311"/>
    <w:pPr>
      <w:keepNext/>
      <w:keepLines/>
      <w:spacing w:before="240" w:after="120" w:line="360" w:lineRule="auto"/>
      <w:outlineLvl w:val="0"/>
    </w:pPr>
    <w:rPr>
      <w:rFonts w:eastAsiaTheme="majorEastAsia" w:cstheme="majorBidi"/>
      <w:b/>
      <w:bCs/>
      <w:sz w:val="32"/>
      <w:szCs w:val="28"/>
    </w:rPr>
  </w:style>
  <w:style w:type="paragraph" w:styleId="Nagwek2">
    <w:name w:val="heading 2"/>
    <w:basedOn w:val="Normalny"/>
    <w:next w:val="Normalny"/>
    <w:link w:val="Nagwek2Znak"/>
    <w:autoRedefine/>
    <w:unhideWhenUsed/>
    <w:qFormat/>
    <w:rsid w:val="008C4701"/>
    <w:pPr>
      <w:keepNext/>
      <w:keepLines/>
      <w:spacing w:before="240" w:after="120" w:line="360" w:lineRule="auto"/>
      <w:outlineLvl w:val="1"/>
    </w:pPr>
    <w:rPr>
      <w:rFonts w:eastAsiaTheme="majorEastAsia" w:cstheme="majorBidi"/>
      <w:b/>
      <w:sz w:val="28"/>
      <w:szCs w:val="26"/>
    </w:rPr>
  </w:style>
  <w:style w:type="paragraph" w:styleId="Nagwek3">
    <w:name w:val="heading 3"/>
    <w:basedOn w:val="Normalny"/>
    <w:next w:val="Normalny"/>
    <w:link w:val="Nagwek3Znak"/>
    <w:autoRedefine/>
    <w:unhideWhenUsed/>
    <w:qFormat/>
    <w:rsid w:val="008C4701"/>
    <w:pPr>
      <w:keepNext/>
      <w:keepLines/>
      <w:spacing w:before="240" w:after="120" w:line="360" w:lineRule="auto"/>
      <w:outlineLvl w:val="2"/>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1D2311"/>
    <w:rPr>
      <w:rFonts w:ascii="Arial" w:eastAsiaTheme="majorEastAsia" w:hAnsi="Arial" w:cstheme="majorBidi"/>
      <w:b/>
      <w:bCs/>
      <w:sz w:val="32"/>
      <w:szCs w:val="28"/>
      <w:lang w:eastAsia="pl-PL"/>
    </w:rPr>
  </w:style>
  <w:style w:type="paragraph" w:styleId="Akapitzlist">
    <w:name w:val="List Paragraph"/>
    <w:aliases w:val="BulletC,Numerowanie,List Paragraph,Akapit z listą BS,Kolorowa lista — akcent 11"/>
    <w:basedOn w:val="Normalny"/>
    <w:uiPriority w:val="34"/>
    <w:qFormat/>
    <w:rsid w:val="00D11BFD"/>
    <w:pPr>
      <w:ind w:left="720"/>
      <w:contextualSpacing/>
    </w:pPr>
  </w:style>
  <w:style w:type="character" w:styleId="Hipercze">
    <w:name w:val="Hyperlink"/>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semiHidden/>
    <w:unhideWhenUsed/>
    <w:rsid w:val="002E4CEF"/>
    <w:rPr>
      <w:sz w:val="16"/>
      <w:szCs w:val="16"/>
    </w:rPr>
  </w:style>
  <w:style w:type="paragraph" w:styleId="Tekstkomentarza">
    <w:name w:val="annotation text"/>
    <w:basedOn w:val="Normalny"/>
    <w:link w:val="TekstkomentarzaZnak"/>
    <w:semiHidden/>
    <w:unhideWhenUsed/>
    <w:rsid w:val="002E4CEF"/>
    <w:rPr>
      <w:sz w:val="20"/>
      <w:szCs w:val="20"/>
    </w:rPr>
  </w:style>
  <w:style w:type="character" w:customStyle="1" w:styleId="TekstkomentarzaZnak">
    <w:name w:val="Tekst komentarza Znak"/>
    <w:basedOn w:val="Domylnaczcionkaakapitu"/>
    <w:link w:val="Tekstkomentarza"/>
    <w:semiHidden/>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sz w:val="24"/>
      <w:szCs w:val="24"/>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customStyle="1" w:styleId="Nagwek2Znak">
    <w:name w:val="Nagłówek 2 Znak"/>
    <w:basedOn w:val="Domylnaczcionkaakapitu"/>
    <w:link w:val="Nagwek2"/>
    <w:rsid w:val="008C4701"/>
    <w:rPr>
      <w:rFonts w:ascii="Arial" w:eastAsiaTheme="majorEastAsia" w:hAnsi="Arial" w:cstheme="majorBidi"/>
      <w:b/>
      <w:sz w:val="28"/>
      <w:szCs w:val="26"/>
      <w:lang w:eastAsia="pl-PL"/>
    </w:rPr>
  </w:style>
  <w:style w:type="character" w:customStyle="1" w:styleId="Nagwek3Znak">
    <w:name w:val="Nagłówek 3 Znak"/>
    <w:basedOn w:val="Domylnaczcionkaakapitu"/>
    <w:link w:val="Nagwek3"/>
    <w:rsid w:val="008C4701"/>
    <w:rPr>
      <w:rFonts w:ascii="Arial" w:eastAsiaTheme="majorEastAsia" w:hAnsi="Arial" w:cstheme="majorBidi"/>
      <w:b/>
      <w:sz w:val="24"/>
      <w:szCs w:val="24"/>
      <w:lang w:eastAsia="pl-PL"/>
    </w:rPr>
  </w:style>
  <w:style w:type="paragraph" w:styleId="Tekstprzypisudolnego">
    <w:name w:val="footnote text"/>
    <w:basedOn w:val="Normalny"/>
    <w:link w:val="TekstprzypisudolnegoZnak"/>
    <w:unhideWhenUsed/>
    <w:rsid w:val="001D6AF8"/>
    <w:rPr>
      <w:sz w:val="20"/>
      <w:szCs w:val="20"/>
    </w:rPr>
  </w:style>
  <w:style w:type="character" w:customStyle="1" w:styleId="TekstprzypisudolnegoZnak">
    <w:name w:val="Tekst przypisu dolnego Znak"/>
    <w:basedOn w:val="Domylnaczcionkaakapitu"/>
    <w:link w:val="Tekstprzypisudolnego"/>
    <w:rsid w:val="001D6AF8"/>
    <w:rPr>
      <w:rFonts w:ascii="Arial" w:hAnsi="Arial"/>
      <w:lang w:eastAsia="pl-PL"/>
    </w:rPr>
  </w:style>
  <w:style w:type="character" w:styleId="Odwoanieprzypisudolnego">
    <w:name w:val="footnote reference"/>
    <w:rsid w:val="001D6AF8"/>
    <w:rPr>
      <w:rFonts w:cs="Times New Roman"/>
      <w:vertAlign w:val="superscript"/>
    </w:rPr>
  </w:style>
  <w:style w:type="numbering" w:customStyle="1" w:styleId="Styl2">
    <w:name w:val="Styl2"/>
    <w:uiPriority w:val="99"/>
    <w:rsid w:val="001D6AF8"/>
    <w:pPr>
      <w:numPr>
        <w:numId w:val="1"/>
      </w:numPr>
    </w:pPr>
  </w:style>
  <w:style w:type="paragraph" w:styleId="Spistreci1">
    <w:name w:val="toc 1"/>
    <w:aliases w:val="Spis treści dla wytycznych"/>
    <w:basedOn w:val="Normalny"/>
    <w:next w:val="Normalny"/>
    <w:autoRedefine/>
    <w:uiPriority w:val="39"/>
    <w:unhideWhenUsed/>
    <w:qFormat/>
    <w:rsid w:val="007D52B0"/>
    <w:pPr>
      <w:tabs>
        <w:tab w:val="right" w:leader="dot" w:pos="9062"/>
      </w:tabs>
      <w:spacing w:before="120" w:after="120" w:line="360" w:lineRule="auto"/>
    </w:pPr>
  </w:style>
  <w:style w:type="paragraph" w:styleId="Spistreci2">
    <w:name w:val="toc 2"/>
    <w:basedOn w:val="Normalny"/>
    <w:next w:val="Normalny"/>
    <w:autoRedefine/>
    <w:uiPriority w:val="39"/>
    <w:unhideWhenUsed/>
    <w:rsid w:val="008C4701"/>
    <w:pPr>
      <w:spacing w:after="100"/>
      <w:ind w:left="240"/>
    </w:pPr>
  </w:style>
  <w:style w:type="paragraph" w:styleId="Spistreci3">
    <w:name w:val="toc 3"/>
    <w:basedOn w:val="Normalny"/>
    <w:next w:val="Normalny"/>
    <w:autoRedefine/>
    <w:uiPriority w:val="39"/>
    <w:unhideWhenUsed/>
    <w:rsid w:val="008F7A4A"/>
    <w:pPr>
      <w:tabs>
        <w:tab w:val="right" w:leader="dot" w:pos="9062"/>
      </w:tabs>
      <w:spacing w:before="120" w:after="120" w:line="360" w:lineRule="auto"/>
      <w:ind w:left="482"/>
    </w:pPr>
  </w:style>
  <w:style w:type="paragraph" w:customStyle="1" w:styleId="DATAAKTUdatauchwalenialubwydaniaaktu">
    <w:name w:val="DATA_AKTU – data uchwalenia lub wydania aktu"/>
    <w:next w:val="Normalny"/>
    <w:uiPriority w:val="6"/>
    <w:rsid w:val="00D3778A"/>
    <w:pPr>
      <w:keepNext/>
      <w:suppressAutoHyphens/>
      <w:spacing w:before="120" w:after="120" w:line="360" w:lineRule="auto"/>
      <w:jc w:val="center"/>
    </w:pPr>
    <w:rPr>
      <w:rFonts w:ascii="Times" w:hAnsi="Times" w:cs="Arial"/>
      <w:bCs/>
      <w:sz w:val="24"/>
      <w:szCs w:val="24"/>
      <w:lang w:eastAsia="pl-PL"/>
    </w:rPr>
  </w:style>
  <w:style w:type="character" w:customStyle="1" w:styleId="markedcontent">
    <w:name w:val="markedcontent"/>
    <w:basedOn w:val="Domylnaczcionkaakapitu"/>
    <w:rsid w:val="001D2311"/>
  </w:style>
  <w:style w:type="character" w:styleId="Nierozpoznanawzmianka">
    <w:name w:val="Unresolved Mention"/>
    <w:basedOn w:val="Domylnaczcionkaakapitu"/>
    <w:uiPriority w:val="99"/>
    <w:semiHidden/>
    <w:unhideWhenUsed/>
    <w:rsid w:val="0057187F"/>
    <w:rPr>
      <w:color w:val="605E5C"/>
      <w:shd w:val="clear" w:color="auto" w:fill="E1DFDD"/>
    </w:rPr>
  </w:style>
  <w:style w:type="paragraph" w:styleId="Tekstprzypisukocowego">
    <w:name w:val="endnote text"/>
    <w:basedOn w:val="Normalny"/>
    <w:link w:val="TekstprzypisukocowegoZnak"/>
    <w:semiHidden/>
    <w:unhideWhenUsed/>
    <w:rsid w:val="00423124"/>
    <w:rPr>
      <w:sz w:val="20"/>
      <w:szCs w:val="20"/>
    </w:rPr>
  </w:style>
  <w:style w:type="character" w:customStyle="1" w:styleId="TekstprzypisukocowegoZnak">
    <w:name w:val="Tekst przypisu końcowego Znak"/>
    <w:basedOn w:val="Domylnaczcionkaakapitu"/>
    <w:link w:val="Tekstprzypisukocowego"/>
    <w:semiHidden/>
    <w:rsid w:val="00423124"/>
    <w:rPr>
      <w:rFonts w:ascii="Arial" w:hAnsi="Arial"/>
      <w:lang w:eastAsia="pl-PL"/>
    </w:rPr>
  </w:style>
  <w:style w:type="character" w:styleId="Odwoanieprzypisukocowego">
    <w:name w:val="endnote reference"/>
    <w:basedOn w:val="Domylnaczcionkaakapitu"/>
    <w:semiHidden/>
    <w:unhideWhenUsed/>
    <w:rsid w:val="00423124"/>
    <w:rPr>
      <w:vertAlign w:val="superscript"/>
    </w:rPr>
  </w:style>
  <w:style w:type="character" w:styleId="UyteHipercze">
    <w:name w:val="FollowedHyperlink"/>
    <w:basedOn w:val="Domylnaczcionkaakapitu"/>
    <w:semiHidden/>
    <w:unhideWhenUsed/>
    <w:rsid w:val="00E51D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6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ik.gov.pl/plik/id,19577,vp,22188.pdf" TargetMode="External"/><Relationship Id="rId7" Type="http://schemas.openxmlformats.org/officeDocument/2006/relationships/hyperlink" Target="https://www.uzp.gov.pl/baza-wiedzy/zrownowazone-zamowienia-publiczne/spoleczne-zamowienia/przydatne-informacje/klauzule-spoleczne" TargetMode="External"/><Relationship Id="rId2" Type="http://schemas.openxmlformats.org/officeDocument/2006/relationships/hyperlink" Target="http://www.brpo.gov.pl" TargetMode="External"/><Relationship Id="rId1" Type="http://schemas.openxmlformats.org/officeDocument/2006/relationships/hyperlink" Target="https://niepelnosprawni.gov.pl/p,81,BAEL" TargetMode="External"/><Relationship Id="rId6" Type="http://schemas.openxmlformats.org/officeDocument/2006/relationships/hyperlink" Target="https://www.google.com/url?sa=t&amp;rct=j&amp;q=&amp;esrc=s&amp;source=web&amp;cd=&amp;ved=2ahUKEwj6iajtq5T6AhXylosKHRguBZc4ChAWegQIFhAB&amp;url=https%3A%2F%2Fwww.nbp.pl%2Fpublikacje%2Fmigracyjne%2Fsytuacja-uchodzcow-z-Ukrainy-w-Polsce.pdf&amp;usg=AOvVaw3i8y8LekSBORzkLLt-Jvw3" TargetMode="External"/><Relationship Id="rId5" Type="http://schemas.openxmlformats.org/officeDocument/2006/relationships/hyperlink" Target="https://www.google.com/url?sa=t&amp;rct=j&amp;q=&amp;esrc=s&amp;source=web&amp;cd=&amp;ved=2ahUKEwi9sdyRo5T6AhWI-yoKHfJkBBQ4ChAWegQIERAB&amp;url=https%3A%2F%2Fwww.senat.gov.pl%2Fgfx%2Fsenat%2Fpl%2Fsenatopracowania%2F5%2Fplik%2Fot-603.pdf&amp;usg=AOvVaw3v-hiZL50zalirHbtclM_P" TargetMode="External"/><Relationship Id="rId4" Type="http://schemas.openxmlformats.org/officeDocument/2006/relationships/hyperlink" Target="https://www.gov.pl/web/mniejszosci-narodowe-i-etniczne/romow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18729-0FE1-4ED4-BE3B-2778FA17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43</Pages>
  <Words>10020</Words>
  <Characters>60124</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wytyczne 2021-2027</vt:lpstr>
    </vt:vector>
  </TitlesOfParts>
  <Company>MRR</Company>
  <LinksUpToDate>false</LinksUpToDate>
  <CharactersWithSpaces>70004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2021-2027</dc:title>
  <dc:creator>Soon</dc:creator>
  <cp:lastModifiedBy>Tarsa Paulina</cp:lastModifiedBy>
  <cp:revision>3</cp:revision>
  <cp:lastPrinted>2022-07-22T07:35:00Z</cp:lastPrinted>
  <dcterms:created xsi:type="dcterms:W3CDTF">2024-03-27T08:04:00Z</dcterms:created>
  <dcterms:modified xsi:type="dcterms:W3CDTF">2024-03-27T08:48:00Z</dcterms:modified>
</cp:coreProperties>
</file>